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3FFE5" w14:textId="18168B9C" w:rsidR="00E054C1" w:rsidRPr="00D66856" w:rsidRDefault="00E054C1" w:rsidP="00C66AC6">
      <w:pPr>
        <w:widowControl w:val="0"/>
        <w:spacing w:after="0"/>
        <w:jc w:val="center"/>
        <w:rPr>
          <w:rFonts w:ascii="Times New Roman" w:hAnsi="Times New Roman" w:cs="Times New Roman"/>
          <w:b/>
          <w:sz w:val="24"/>
          <w:szCs w:val="24"/>
        </w:rPr>
      </w:pPr>
      <w:bookmarkStart w:id="0" w:name="OLE_LINK8"/>
      <w:bookmarkStart w:id="1" w:name="OLE_LINK9"/>
      <w:r w:rsidRPr="00D66856">
        <w:rPr>
          <w:rFonts w:ascii="Times New Roman" w:hAnsi="Times New Roman" w:cs="Times New Roman"/>
          <w:b/>
          <w:sz w:val="24"/>
          <w:szCs w:val="24"/>
        </w:rPr>
        <w:t xml:space="preserve">Credit </w:t>
      </w:r>
      <w:r w:rsidR="003E7E5B">
        <w:rPr>
          <w:rFonts w:ascii="Times New Roman" w:hAnsi="Times New Roman" w:cs="Times New Roman"/>
          <w:b/>
          <w:sz w:val="24"/>
          <w:szCs w:val="24"/>
        </w:rPr>
        <w:t>Rating Changes</w:t>
      </w:r>
      <w:r w:rsidRPr="00D66856">
        <w:rPr>
          <w:rFonts w:ascii="Times New Roman" w:hAnsi="Times New Roman" w:cs="Times New Roman"/>
          <w:b/>
          <w:sz w:val="24"/>
          <w:szCs w:val="24"/>
        </w:rPr>
        <w:t xml:space="preserve"> and </w:t>
      </w:r>
      <w:r>
        <w:rPr>
          <w:rFonts w:ascii="Times New Roman" w:hAnsi="Times New Roman" w:cs="Times New Roman"/>
          <w:b/>
          <w:sz w:val="24"/>
          <w:szCs w:val="24"/>
        </w:rPr>
        <w:t xml:space="preserve">Debt </w:t>
      </w:r>
      <w:bookmarkEnd w:id="0"/>
      <w:bookmarkEnd w:id="1"/>
      <w:r w:rsidR="003E7E5B">
        <w:rPr>
          <w:rFonts w:ascii="Times New Roman" w:hAnsi="Times New Roman" w:cs="Times New Roman"/>
          <w:b/>
          <w:sz w:val="24"/>
          <w:szCs w:val="24"/>
        </w:rPr>
        <w:t>Structure</w:t>
      </w:r>
    </w:p>
    <w:p w14:paraId="40ACB754" w14:textId="77777777" w:rsidR="00E054C1" w:rsidRPr="00B25106" w:rsidRDefault="00E054C1" w:rsidP="00E054C1">
      <w:pPr>
        <w:spacing w:line="480" w:lineRule="auto"/>
        <w:ind w:right="720"/>
        <w:jc w:val="center"/>
        <w:rPr>
          <w:rFonts w:ascii="Times New Roman" w:hAnsi="Times New Roman" w:cs="Times New Roman"/>
          <w:b/>
          <w:sz w:val="24"/>
          <w:szCs w:val="24"/>
        </w:rPr>
      </w:pPr>
    </w:p>
    <w:p w14:paraId="0D4758F3" w14:textId="685AF363" w:rsidR="005C15BF" w:rsidRDefault="005C15BF" w:rsidP="00E054C1">
      <w:pPr>
        <w:pStyle w:val="Style"/>
        <w:widowControl/>
        <w:jc w:val="center"/>
        <w:rPr>
          <w:sz w:val="24"/>
          <w:szCs w:val="24"/>
        </w:rPr>
      </w:pPr>
      <w:r>
        <w:rPr>
          <w:sz w:val="24"/>
          <w:szCs w:val="24"/>
        </w:rPr>
        <w:t xml:space="preserve">Joseph M. </w:t>
      </w:r>
      <w:proofErr w:type="spellStart"/>
      <w:r>
        <w:rPr>
          <w:sz w:val="24"/>
          <w:szCs w:val="24"/>
        </w:rPr>
        <w:t>Goebel</w:t>
      </w:r>
      <w:r w:rsidRPr="005C15BF">
        <w:rPr>
          <w:sz w:val="24"/>
          <w:szCs w:val="24"/>
          <w:vertAlign w:val="superscript"/>
        </w:rPr>
        <w:t>a</w:t>
      </w:r>
      <w:proofErr w:type="spellEnd"/>
    </w:p>
    <w:p w14:paraId="3D01E1C4" w14:textId="32315BC9" w:rsidR="00E054C1" w:rsidRPr="00B25106" w:rsidRDefault="00E054C1" w:rsidP="00E054C1">
      <w:pPr>
        <w:pStyle w:val="Style"/>
        <w:widowControl/>
        <w:jc w:val="center"/>
        <w:rPr>
          <w:sz w:val="24"/>
          <w:szCs w:val="24"/>
        </w:rPr>
      </w:pPr>
      <w:r w:rsidRPr="00B25106">
        <w:rPr>
          <w:sz w:val="24"/>
          <w:szCs w:val="24"/>
        </w:rPr>
        <w:t>Kris</w:t>
      </w:r>
      <w:r>
        <w:rPr>
          <w:sz w:val="24"/>
          <w:szCs w:val="24"/>
        </w:rPr>
        <w:t>topher J.</w:t>
      </w:r>
      <w:r w:rsidRPr="00B25106">
        <w:rPr>
          <w:sz w:val="24"/>
          <w:szCs w:val="24"/>
        </w:rPr>
        <w:t xml:space="preserve"> Kemper </w:t>
      </w:r>
      <w:r w:rsidR="005C15BF">
        <w:rPr>
          <w:sz w:val="24"/>
          <w:szCs w:val="24"/>
          <w:vertAlign w:val="superscript"/>
        </w:rPr>
        <w:t>b</w:t>
      </w:r>
      <w:r w:rsidRPr="00B25106">
        <w:rPr>
          <w:sz w:val="24"/>
          <w:szCs w:val="24"/>
        </w:rPr>
        <w:t xml:space="preserve"> </w:t>
      </w:r>
    </w:p>
    <w:p w14:paraId="771BB802" w14:textId="2C392FBD" w:rsidR="005C15BF" w:rsidRDefault="005C15BF" w:rsidP="006717BD">
      <w:pPr>
        <w:autoSpaceDE w:val="0"/>
        <w:autoSpaceDN w:val="0"/>
        <w:adjustRightInd w:val="0"/>
        <w:spacing w:after="0" w:line="240" w:lineRule="auto"/>
        <w:rPr>
          <w:sz w:val="24"/>
          <w:szCs w:val="24"/>
          <w:vertAlign w:val="superscript"/>
        </w:rPr>
      </w:pPr>
      <w:bookmarkStart w:id="2" w:name="OLE_LINK7"/>
    </w:p>
    <w:p w14:paraId="139B2CB0" w14:textId="68B3D989" w:rsidR="005C15BF" w:rsidRDefault="005C15BF" w:rsidP="005C15BF">
      <w:pPr>
        <w:autoSpaceDE w:val="0"/>
        <w:autoSpaceDN w:val="0"/>
        <w:adjustRightInd w:val="0"/>
        <w:spacing w:after="0" w:line="240" w:lineRule="auto"/>
        <w:rPr>
          <w:rFonts w:ascii="Times New Roman" w:eastAsiaTheme="minorHAnsi" w:hAnsi="Times New Roman" w:cs="Times New Roman"/>
          <w:color w:val="000000"/>
          <w:sz w:val="24"/>
          <w:szCs w:val="24"/>
        </w:rPr>
      </w:pPr>
      <w:r>
        <w:rPr>
          <w:sz w:val="24"/>
          <w:szCs w:val="24"/>
          <w:vertAlign w:val="superscript"/>
        </w:rPr>
        <w:t>a</w:t>
      </w:r>
      <w:r w:rsidRPr="00B25106">
        <w:rPr>
          <w:sz w:val="24"/>
          <w:szCs w:val="24"/>
          <w:vertAlign w:val="superscript"/>
        </w:rPr>
        <w:t xml:space="preserve"> </w:t>
      </w:r>
      <w:r w:rsidRPr="006717BD">
        <w:rPr>
          <w:rFonts w:ascii="Times New Roman" w:eastAsiaTheme="minorHAnsi" w:hAnsi="Times New Roman" w:cs="Times New Roman"/>
          <w:color w:val="000000"/>
          <w:sz w:val="24"/>
          <w:szCs w:val="24"/>
        </w:rPr>
        <w:t xml:space="preserve">Department of Finance and Insurance, Miller College of Business, Ball State University, Muncie, IN 47306; Phone: 765-285-2198; Fax: 765-285-4314; Email: </w:t>
      </w:r>
      <w:hyperlink r:id="rId8" w:history="1">
        <w:r w:rsidRPr="006E3B24">
          <w:rPr>
            <w:rStyle w:val="Hyperlink"/>
            <w:rFonts w:ascii="Times New Roman" w:eastAsiaTheme="minorHAnsi" w:hAnsi="Times New Roman" w:cs="Times New Roman"/>
            <w:sz w:val="24"/>
            <w:szCs w:val="24"/>
          </w:rPr>
          <w:t>jmgoebel@bsu.edu</w:t>
        </w:r>
      </w:hyperlink>
    </w:p>
    <w:p w14:paraId="1026E804" w14:textId="77777777" w:rsidR="005C15BF" w:rsidRDefault="005C15BF" w:rsidP="006717BD">
      <w:pPr>
        <w:autoSpaceDE w:val="0"/>
        <w:autoSpaceDN w:val="0"/>
        <w:adjustRightInd w:val="0"/>
        <w:spacing w:after="0" w:line="240" w:lineRule="auto"/>
        <w:rPr>
          <w:sz w:val="24"/>
          <w:szCs w:val="24"/>
          <w:vertAlign w:val="superscript"/>
        </w:rPr>
      </w:pPr>
    </w:p>
    <w:p w14:paraId="20EED26D" w14:textId="51030E97" w:rsidR="006717BD" w:rsidRDefault="005C15BF" w:rsidP="006717BD">
      <w:pPr>
        <w:autoSpaceDE w:val="0"/>
        <w:autoSpaceDN w:val="0"/>
        <w:adjustRightInd w:val="0"/>
        <w:spacing w:after="0" w:line="240" w:lineRule="auto"/>
        <w:rPr>
          <w:rFonts w:ascii="Times New Roman" w:eastAsiaTheme="minorHAnsi" w:hAnsi="Times New Roman" w:cs="Times New Roman"/>
          <w:color w:val="000000"/>
          <w:sz w:val="24"/>
          <w:szCs w:val="24"/>
        </w:rPr>
      </w:pPr>
      <w:r>
        <w:rPr>
          <w:sz w:val="24"/>
          <w:szCs w:val="24"/>
          <w:vertAlign w:val="superscript"/>
        </w:rPr>
        <w:t>b</w:t>
      </w:r>
      <w:r w:rsidR="00E054C1" w:rsidRPr="00B25106">
        <w:rPr>
          <w:sz w:val="24"/>
          <w:szCs w:val="24"/>
          <w:vertAlign w:val="superscript"/>
        </w:rPr>
        <w:t xml:space="preserve"> </w:t>
      </w:r>
      <w:r w:rsidR="006717BD" w:rsidRPr="006717BD">
        <w:rPr>
          <w:rFonts w:ascii="Times New Roman" w:eastAsiaTheme="minorHAnsi" w:hAnsi="Times New Roman" w:cs="Times New Roman"/>
          <w:color w:val="000000"/>
          <w:sz w:val="24"/>
          <w:szCs w:val="24"/>
        </w:rPr>
        <w:t xml:space="preserve">Department of Finance and Insurance, Miller College of Business, Ball State University, Muncie, IN 47306; Phone: 765-285-2198; Fax: 765-285-4314; Email: </w:t>
      </w:r>
      <w:hyperlink r:id="rId9" w:history="1">
        <w:r w:rsidR="006717BD" w:rsidRPr="00163CCB">
          <w:rPr>
            <w:rStyle w:val="Hyperlink"/>
            <w:rFonts w:ascii="Times New Roman" w:eastAsiaTheme="minorHAnsi" w:hAnsi="Times New Roman" w:cs="Times New Roman"/>
            <w:sz w:val="24"/>
            <w:szCs w:val="24"/>
          </w:rPr>
          <w:t>kjkemper@bsu.edu</w:t>
        </w:r>
      </w:hyperlink>
    </w:p>
    <w:bookmarkEnd w:id="2"/>
    <w:p w14:paraId="050B61C3" w14:textId="77777777" w:rsidR="00E054C1" w:rsidRPr="00B25106" w:rsidRDefault="00E054C1" w:rsidP="00E054C1">
      <w:pPr>
        <w:pStyle w:val="Style"/>
        <w:widowControl/>
        <w:jc w:val="both"/>
        <w:rPr>
          <w:sz w:val="24"/>
          <w:szCs w:val="24"/>
          <w:vertAlign w:val="superscript"/>
        </w:rPr>
      </w:pPr>
    </w:p>
    <w:p w14:paraId="5088040D" w14:textId="77777777" w:rsidR="006D5D12" w:rsidRPr="00B25106" w:rsidRDefault="006D5D12" w:rsidP="00E054C1">
      <w:pPr>
        <w:spacing w:line="480" w:lineRule="auto"/>
        <w:jc w:val="both"/>
        <w:rPr>
          <w:rFonts w:ascii="Times New Roman" w:hAnsi="Times New Roman" w:cs="Times New Roman"/>
          <w:b/>
          <w:sz w:val="24"/>
          <w:szCs w:val="24"/>
        </w:rPr>
      </w:pPr>
    </w:p>
    <w:p w14:paraId="2B631AB7" w14:textId="77777777" w:rsidR="00E054C1" w:rsidRPr="00781DE3" w:rsidRDefault="00E054C1" w:rsidP="00E054C1">
      <w:pPr>
        <w:spacing w:line="480" w:lineRule="auto"/>
        <w:jc w:val="center"/>
        <w:rPr>
          <w:rFonts w:ascii="Times New Roman" w:hAnsi="Times New Roman" w:cs="Times New Roman"/>
          <w:b/>
          <w:sz w:val="20"/>
          <w:szCs w:val="20"/>
        </w:rPr>
      </w:pPr>
      <w:r w:rsidRPr="00781DE3">
        <w:rPr>
          <w:rFonts w:ascii="Times New Roman" w:hAnsi="Times New Roman" w:cs="Times New Roman"/>
          <w:b/>
          <w:sz w:val="20"/>
          <w:szCs w:val="20"/>
        </w:rPr>
        <w:t>Abstract</w:t>
      </w:r>
    </w:p>
    <w:p w14:paraId="7BB08666" w14:textId="64FD5419" w:rsidR="00966C44" w:rsidRPr="00781DE3" w:rsidRDefault="00D47E9A" w:rsidP="00597172">
      <w:pPr>
        <w:spacing w:after="0" w:line="240" w:lineRule="auto"/>
        <w:ind w:firstLine="360"/>
        <w:rPr>
          <w:rFonts w:ascii="Times New Roman" w:hAnsi="Times New Roman" w:cs="Times New Roman"/>
          <w:color w:val="000000" w:themeColor="text1"/>
          <w:sz w:val="20"/>
          <w:szCs w:val="20"/>
        </w:rPr>
      </w:pPr>
      <w:r w:rsidRPr="00781DE3">
        <w:rPr>
          <w:rFonts w:ascii="Times New Roman" w:hAnsi="Times New Roman" w:cs="Times New Roman"/>
          <w:color w:val="000000" w:themeColor="text1"/>
          <w:sz w:val="20"/>
          <w:szCs w:val="20"/>
        </w:rPr>
        <w:t xml:space="preserve">Through examination of the relationship between rating levels and subsequent annual net debt changes, </w:t>
      </w:r>
      <w:proofErr w:type="spellStart"/>
      <w:r w:rsidRPr="00781DE3">
        <w:rPr>
          <w:rFonts w:ascii="Times New Roman" w:hAnsi="Times New Roman" w:cs="Times New Roman"/>
          <w:color w:val="000000" w:themeColor="text1"/>
          <w:sz w:val="20"/>
          <w:szCs w:val="20"/>
        </w:rPr>
        <w:t>Kisgen</w:t>
      </w:r>
      <w:proofErr w:type="spellEnd"/>
      <w:r w:rsidRPr="00781DE3">
        <w:rPr>
          <w:rFonts w:ascii="Times New Roman" w:hAnsi="Times New Roman" w:cs="Times New Roman"/>
          <w:color w:val="000000" w:themeColor="text1"/>
          <w:sz w:val="20"/>
          <w:szCs w:val="20"/>
        </w:rPr>
        <w:t xml:space="preserve"> (2006) provides support for the Credit Rationing – Capital Structure (CR-CS) hypothesis which maintains that </w:t>
      </w:r>
      <w:r w:rsidR="00286983" w:rsidRPr="00781DE3">
        <w:rPr>
          <w:rFonts w:ascii="Times New Roman" w:hAnsi="Times New Roman" w:cs="Times New Roman"/>
          <w:color w:val="000000" w:themeColor="text1"/>
          <w:sz w:val="20"/>
          <w:szCs w:val="20"/>
        </w:rPr>
        <w:t>“+” or “</w:t>
      </w:r>
      <w:proofErr w:type="gramStart"/>
      <w:r w:rsidR="00286983" w:rsidRPr="00781DE3">
        <w:rPr>
          <w:rFonts w:ascii="Times New Roman" w:hAnsi="Times New Roman" w:cs="Times New Roman"/>
          <w:color w:val="000000" w:themeColor="text1"/>
          <w:sz w:val="20"/>
          <w:szCs w:val="20"/>
        </w:rPr>
        <w:t>-“ notch</w:t>
      </w:r>
      <w:proofErr w:type="gramEnd"/>
      <w:r w:rsidR="00286983" w:rsidRPr="00781DE3">
        <w:rPr>
          <w:rFonts w:ascii="Times New Roman" w:hAnsi="Times New Roman" w:cs="Times New Roman"/>
          <w:color w:val="000000" w:themeColor="text1"/>
          <w:sz w:val="20"/>
          <w:szCs w:val="20"/>
        </w:rPr>
        <w:t xml:space="preserve"> </w:t>
      </w:r>
      <w:r w:rsidRPr="00781DE3">
        <w:rPr>
          <w:rFonts w:ascii="Times New Roman" w:hAnsi="Times New Roman" w:cs="Times New Roman"/>
          <w:color w:val="000000" w:themeColor="text1"/>
          <w:sz w:val="20"/>
          <w:szCs w:val="20"/>
        </w:rPr>
        <w:t xml:space="preserve">firms </w:t>
      </w:r>
      <w:r w:rsidR="00286983" w:rsidRPr="00781DE3">
        <w:rPr>
          <w:rFonts w:ascii="Times New Roman" w:hAnsi="Times New Roman" w:cs="Times New Roman"/>
          <w:color w:val="000000" w:themeColor="text1"/>
          <w:sz w:val="20"/>
          <w:szCs w:val="20"/>
        </w:rPr>
        <w:t>are more likely than non-</w:t>
      </w:r>
      <w:r w:rsidRPr="00781DE3">
        <w:rPr>
          <w:rFonts w:ascii="Times New Roman" w:hAnsi="Times New Roman" w:cs="Times New Roman"/>
          <w:color w:val="000000" w:themeColor="text1"/>
          <w:sz w:val="20"/>
          <w:szCs w:val="20"/>
        </w:rPr>
        <w:t xml:space="preserve">notch </w:t>
      </w:r>
      <w:r w:rsidR="00286983" w:rsidRPr="00781DE3">
        <w:rPr>
          <w:rFonts w:ascii="Times New Roman" w:hAnsi="Times New Roman" w:cs="Times New Roman"/>
          <w:color w:val="000000" w:themeColor="text1"/>
          <w:sz w:val="20"/>
          <w:szCs w:val="20"/>
        </w:rPr>
        <w:t xml:space="preserve">firms to </w:t>
      </w:r>
      <w:r w:rsidRPr="00781DE3">
        <w:rPr>
          <w:rFonts w:ascii="Times New Roman" w:hAnsi="Times New Roman" w:cs="Times New Roman"/>
          <w:color w:val="000000" w:themeColor="text1"/>
          <w:sz w:val="20"/>
          <w:szCs w:val="20"/>
        </w:rPr>
        <w:t xml:space="preserve">reduce net debt levels to increase the </w:t>
      </w:r>
      <w:r w:rsidR="00B368F2" w:rsidRPr="00781DE3">
        <w:rPr>
          <w:rFonts w:ascii="Times New Roman" w:hAnsi="Times New Roman" w:cs="Times New Roman"/>
          <w:color w:val="000000" w:themeColor="text1"/>
          <w:sz w:val="20"/>
          <w:szCs w:val="20"/>
        </w:rPr>
        <w:t>likelihood</w:t>
      </w:r>
      <w:r w:rsidRPr="00781DE3">
        <w:rPr>
          <w:rFonts w:ascii="Times New Roman" w:hAnsi="Times New Roman" w:cs="Times New Roman"/>
          <w:color w:val="000000" w:themeColor="text1"/>
          <w:sz w:val="20"/>
          <w:szCs w:val="20"/>
        </w:rPr>
        <w:t xml:space="preserve"> of </w:t>
      </w:r>
      <w:r w:rsidR="00B368F2" w:rsidRPr="00781DE3">
        <w:rPr>
          <w:rFonts w:ascii="Times New Roman" w:hAnsi="Times New Roman" w:cs="Times New Roman"/>
          <w:color w:val="000000" w:themeColor="text1"/>
          <w:sz w:val="20"/>
          <w:szCs w:val="20"/>
        </w:rPr>
        <w:t>a beneficial rating change</w:t>
      </w:r>
      <w:r w:rsidRPr="00781DE3">
        <w:rPr>
          <w:rFonts w:ascii="Times New Roman" w:hAnsi="Times New Roman" w:cs="Times New Roman"/>
          <w:color w:val="000000" w:themeColor="text1"/>
          <w:sz w:val="20"/>
          <w:szCs w:val="20"/>
        </w:rPr>
        <w:t xml:space="preserve">.  </w:t>
      </w:r>
      <w:r w:rsidR="00355F4E" w:rsidRPr="00781DE3">
        <w:rPr>
          <w:rFonts w:ascii="Times New Roman" w:hAnsi="Times New Roman" w:cs="Times New Roman"/>
          <w:color w:val="000000" w:themeColor="text1"/>
          <w:sz w:val="20"/>
          <w:szCs w:val="20"/>
        </w:rPr>
        <w:t xml:space="preserve">We </w:t>
      </w:r>
      <w:r w:rsidR="00B368F2" w:rsidRPr="00781DE3">
        <w:rPr>
          <w:rFonts w:ascii="Times New Roman" w:hAnsi="Times New Roman" w:cs="Times New Roman"/>
          <w:color w:val="000000" w:themeColor="text1"/>
          <w:sz w:val="20"/>
          <w:szCs w:val="20"/>
        </w:rPr>
        <w:t xml:space="preserve">add to the credit rating literature by </w:t>
      </w:r>
      <w:r w:rsidR="00355F4E" w:rsidRPr="00781DE3">
        <w:rPr>
          <w:rFonts w:ascii="Times New Roman" w:hAnsi="Times New Roman" w:cs="Times New Roman"/>
          <w:color w:val="000000" w:themeColor="text1"/>
          <w:sz w:val="20"/>
          <w:szCs w:val="20"/>
        </w:rPr>
        <w:t>focusing on quarterly net debt changes over the two years before and after rating change</w:t>
      </w:r>
      <w:r w:rsidR="00941ECC" w:rsidRPr="00781DE3">
        <w:rPr>
          <w:rFonts w:ascii="Times New Roman" w:hAnsi="Times New Roman" w:cs="Times New Roman"/>
          <w:color w:val="000000" w:themeColor="text1"/>
          <w:sz w:val="20"/>
          <w:szCs w:val="20"/>
        </w:rPr>
        <w:t>s</w:t>
      </w:r>
      <w:r w:rsidR="00355F4E" w:rsidRPr="00781DE3">
        <w:rPr>
          <w:rFonts w:ascii="Times New Roman" w:hAnsi="Times New Roman" w:cs="Times New Roman"/>
          <w:color w:val="000000" w:themeColor="text1"/>
          <w:sz w:val="20"/>
          <w:szCs w:val="20"/>
        </w:rPr>
        <w:t xml:space="preserve"> </w:t>
      </w:r>
      <w:r w:rsidR="00DC4EF2" w:rsidRPr="00781DE3">
        <w:rPr>
          <w:rFonts w:ascii="Times New Roman" w:hAnsi="Times New Roman" w:cs="Times New Roman"/>
          <w:color w:val="000000" w:themeColor="text1"/>
          <w:sz w:val="20"/>
          <w:szCs w:val="20"/>
        </w:rPr>
        <w:t xml:space="preserve">to provide evidence that notch firms are </w:t>
      </w:r>
      <w:r w:rsidR="009E69F4" w:rsidRPr="00781DE3">
        <w:rPr>
          <w:rFonts w:ascii="Times New Roman" w:hAnsi="Times New Roman" w:cs="Times New Roman"/>
          <w:color w:val="000000" w:themeColor="text1"/>
          <w:sz w:val="20"/>
          <w:szCs w:val="20"/>
        </w:rPr>
        <w:t xml:space="preserve">generally </w:t>
      </w:r>
      <w:r w:rsidR="00DC4EF2" w:rsidRPr="00781DE3">
        <w:rPr>
          <w:rFonts w:ascii="Times New Roman" w:hAnsi="Times New Roman" w:cs="Times New Roman"/>
          <w:color w:val="000000" w:themeColor="text1"/>
          <w:sz w:val="20"/>
          <w:szCs w:val="20"/>
        </w:rPr>
        <w:t>not associated with l</w:t>
      </w:r>
      <w:r w:rsidR="009E69F4" w:rsidRPr="00781DE3">
        <w:rPr>
          <w:rFonts w:ascii="Times New Roman" w:hAnsi="Times New Roman" w:cs="Times New Roman"/>
          <w:color w:val="000000" w:themeColor="text1"/>
          <w:sz w:val="20"/>
          <w:szCs w:val="20"/>
        </w:rPr>
        <w:t xml:space="preserve">ower </w:t>
      </w:r>
      <w:r w:rsidR="00DC4EF2" w:rsidRPr="00781DE3">
        <w:rPr>
          <w:rFonts w:ascii="Times New Roman" w:hAnsi="Times New Roman" w:cs="Times New Roman"/>
          <w:color w:val="000000" w:themeColor="text1"/>
          <w:sz w:val="20"/>
          <w:szCs w:val="20"/>
        </w:rPr>
        <w:t>net debt</w:t>
      </w:r>
      <w:r w:rsidR="009E69F4" w:rsidRPr="00781DE3">
        <w:rPr>
          <w:rFonts w:ascii="Times New Roman" w:hAnsi="Times New Roman" w:cs="Times New Roman"/>
          <w:color w:val="000000" w:themeColor="text1"/>
          <w:sz w:val="20"/>
          <w:szCs w:val="20"/>
        </w:rPr>
        <w:t xml:space="preserve"> levels</w:t>
      </w:r>
      <w:r w:rsidR="00DC4EF2" w:rsidRPr="00781DE3">
        <w:rPr>
          <w:rFonts w:ascii="Times New Roman" w:hAnsi="Times New Roman" w:cs="Times New Roman"/>
          <w:color w:val="000000" w:themeColor="text1"/>
          <w:sz w:val="20"/>
          <w:szCs w:val="20"/>
        </w:rPr>
        <w:t>, greater net debt reductions, or higher probability of upgrade</w:t>
      </w:r>
      <w:r w:rsidR="009E69F4" w:rsidRPr="00781DE3">
        <w:rPr>
          <w:rFonts w:ascii="Times New Roman" w:hAnsi="Times New Roman" w:cs="Times New Roman"/>
          <w:color w:val="000000" w:themeColor="text1"/>
          <w:sz w:val="20"/>
          <w:szCs w:val="20"/>
        </w:rPr>
        <w:t>s</w:t>
      </w:r>
      <w:r w:rsidR="00DC4EF2" w:rsidRPr="00781DE3">
        <w:rPr>
          <w:rFonts w:ascii="Times New Roman" w:hAnsi="Times New Roman" w:cs="Times New Roman"/>
          <w:color w:val="000000" w:themeColor="text1"/>
          <w:sz w:val="20"/>
          <w:szCs w:val="20"/>
        </w:rPr>
        <w:t xml:space="preserve"> than non-notch firms before rating changes.  </w:t>
      </w:r>
      <w:r w:rsidR="00307763" w:rsidRPr="00781DE3">
        <w:rPr>
          <w:rFonts w:ascii="Times New Roman" w:hAnsi="Times New Roman" w:cs="Times New Roman"/>
          <w:color w:val="000000" w:themeColor="text1"/>
          <w:sz w:val="20"/>
          <w:szCs w:val="20"/>
        </w:rPr>
        <w:t xml:space="preserve">Instead, notch firms </w:t>
      </w:r>
      <w:r w:rsidR="00597172" w:rsidRPr="00781DE3">
        <w:rPr>
          <w:rFonts w:ascii="Times New Roman" w:hAnsi="Times New Roman" w:cs="Times New Roman"/>
          <w:color w:val="000000" w:themeColor="text1"/>
          <w:sz w:val="20"/>
          <w:szCs w:val="20"/>
        </w:rPr>
        <w:t xml:space="preserve">with </w:t>
      </w:r>
      <w:r w:rsidR="005569E8" w:rsidRPr="00781DE3">
        <w:rPr>
          <w:rFonts w:ascii="Times New Roman" w:hAnsi="Times New Roman" w:cs="Times New Roman"/>
          <w:color w:val="000000" w:themeColor="text1"/>
          <w:sz w:val="20"/>
          <w:szCs w:val="20"/>
        </w:rPr>
        <w:t>CreditWatch (</w:t>
      </w:r>
      <w:r w:rsidR="00597172" w:rsidRPr="00781DE3">
        <w:rPr>
          <w:rFonts w:ascii="Times New Roman" w:hAnsi="Times New Roman" w:cs="Times New Roman"/>
          <w:color w:val="000000" w:themeColor="text1"/>
          <w:sz w:val="20"/>
          <w:szCs w:val="20"/>
        </w:rPr>
        <w:t>CW</w:t>
      </w:r>
      <w:r w:rsidR="005569E8" w:rsidRPr="00781DE3">
        <w:rPr>
          <w:rFonts w:ascii="Times New Roman" w:hAnsi="Times New Roman" w:cs="Times New Roman"/>
          <w:color w:val="000000" w:themeColor="text1"/>
          <w:sz w:val="20"/>
          <w:szCs w:val="20"/>
        </w:rPr>
        <w:t>)</w:t>
      </w:r>
      <w:r w:rsidR="00597172" w:rsidRPr="00781DE3">
        <w:rPr>
          <w:rFonts w:ascii="Times New Roman" w:hAnsi="Times New Roman" w:cs="Times New Roman"/>
          <w:color w:val="000000" w:themeColor="text1"/>
          <w:sz w:val="20"/>
          <w:szCs w:val="20"/>
        </w:rPr>
        <w:t xml:space="preserve"> announcements </w:t>
      </w:r>
      <w:r w:rsidR="00307763" w:rsidRPr="00781DE3">
        <w:rPr>
          <w:rFonts w:ascii="Times New Roman" w:hAnsi="Times New Roman" w:cs="Times New Roman"/>
          <w:color w:val="000000" w:themeColor="text1"/>
          <w:sz w:val="20"/>
          <w:szCs w:val="20"/>
        </w:rPr>
        <w:t xml:space="preserve">are associated with relatively greater </w:t>
      </w:r>
      <w:r w:rsidR="00307763" w:rsidRPr="00781DE3">
        <w:rPr>
          <w:rFonts w:ascii="Times New Roman" w:hAnsi="Times New Roman" w:cs="Times New Roman"/>
          <w:sz w:val="20"/>
          <w:szCs w:val="20"/>
        </w:rPr>
        <w:t>net debt level increases beginning three quarters before rating changes and these increases continue for firms both without and with CW announcements after the rating change.</w:t>
      </w:r>
      <w:r w:rsidR="00597172" w:rsidRPr="00781DE3">
        <w:rPr>
          <w:rFonts w:ascii="Times New Roman" w:hAnsi="Times New Roman" w:cs="Times New Roman"/>
          <w:sz w:val="20"/>
          <w:szCs w:val="20"/>
        </w:rPr>
        <w:t xml:space="preserve">  Further, </w:t>
      </w:r>
      <w:r w:rsidR="00730B0A" w:rsidRPr="00781DE3">
        <w:rPr>
          <w:rFonts w:ascii="Times New Roman" w:hAnsi="Times New Roman" w:cs="Times New Roman"/>
          <w:color w:val="000000" w:themeColor="text1"/>
          <w:sz w:val="20"/>
          <w:szCs w:val="20"/>
        </w:rPr>
        <w:t>in analysis of the strength of upgrades (UP) relative to downgrades (DOWN) at the time of rating change, we show that the UP/DOWN ratio is more a function of the presence of prior C</w:t>
      </w:r>
      <w:r w:rsidR="00101267">
        <w:rPr>
          <w:rFonts w:ascii="Times New Roman" w:hAnsi="Times New Roman" w:cs="Times New Roman"/>
          <w:color w:val="000000" w:themeColor="text1"/>
          <w:sz w:val="20"/>
          <w:szCs w:val="20"/>
        </w:rPr>
        <w:t>W</w:t>
      </w:r>
      <w:r w:rsidR="00730B0A" w:rsidRPr="00781DE3">
        <w:rPr>
          <w:rFonts w:ascii="Times New Roman" w:hAnsi="Times New Roman" w:cs="Times New Roman"/>
          <w:color w:val="000000" w:themeColor="text1"/>
          <w:sz w:val="20"/>
          <w:szCs w:val="20"/>
        </w:rPr>
        <w:t xml:space="preserve"> announcements than notch status.  </w:t>
      </w:r>
      <w:r w:rsidR="00966C44" w:rsidRPr="00781DE3">
        <w:rPr>
          <w:rFonts w:ascii="Times New Roman" w:hAnsi="Times New Roman" w:cs="Times New Roman"/>
          <w:color w:val="000000" w:themeColor="text1"/>
          <w:sz w:val="20"/>
          <w:szCs w:val="20"/>
        </w:rPr>
        <w:t xml:space="preserve">Firms without and with CW announcements exhibit UP/DOWN ratios of </w:t>
      </w:r>
      <w:r w:rsidR="00302C8A" w:rsidRPr="00781DE3">
        <w:rPr>
          <w:rFonts w:ascii="Times New Roman" w:hAnsi="Times New Roman" w:cs="Times New Roman"/>
          <w:color w:val="000000" w:themeColor="text1"/>
          <w:sz w:val="20"/>
          <w:szCs w:val="20"/>
        </w:rPr>
        <w:t xml:space="preserve">.8455 and .3628, respectively, with no significant differences in these ratios between notch and non-notch firms.  </w:t>
      </w:r>
    </w:p>
    <w:p w14:paraId="110B18B1" w14:textId="77777777" w:rsidR="00966C44" w:rsidRPr="00781DE3" w:rsidRDefault="00966C44" w:rsidP="00C76462">
      <w:pPr>
        <w:spacing w:after="0" w:line="240" w:lineRule="auto"/>
        <w:ind w:firstLine="360"/>
        <w:rPr>
          <w:rFonts w:ascii="Times New Roman" w:hAnsi="Times New Roman" w:cs="Times New Roman"/>
          <w:color w:val="000000" w:themeColor="text1"/>
          <w:sz w:val="20"/>
          <w:szCs w:val="20"/>
        </w:rPr>
      </w:pPr>
    </w:p>
    <w:p w14:paraId="4A31D997" w14:textId="77777777" w:rsidR="00781DE3" w:rsidRDefault="00781DE3" w:rsidP="00E054C1">
      <w:pPr>
        <w:pStyle w:val="BodyText2"/>
        <w:rPr>
          <w:rFonts w:ascii="Times New Roman" w:hAnsi="Times New Roman"/>
          <w:iCs/>
          <w:sz w:val="24"/>
          <w:szCs w:val="24"/>
        </w:rPr>
      </w:pPr>
    </w:p>
    <w:p w14:paraId="6D52BA22" w14:textId="5324EA00" w:rsidR="00E054C1" w:rsidRPr="00B25106" w:rsidRDefault="00E054C1" w:rsidP="00E054C1">
      <w:pPr>
        <w:pStyle w:val="BodyText2"/>
        <w:rPr>
          <w:rFonts w:ascii="Times New Roman" w:hAnsi="Times New Roman"/>
          <w:i w:val="0"/>
          <w:iCs/>
          <w:sz w:val="24"/>
          <w:szCs w:val="24"/>
        </w:rPr>
      </w:pPr>
      <w:r w:rsidRPr="00B25106">
        <w:rPr>
          <w:rFonts w:ascii="Times New Roman" w:hAnsi="Times New Roman"/>
          <w:iCs/>
          <w:sz w:val="24"/>
          <w:szCs w:val="24"/>
        </w:rPr>
        <w:t>Keywords:  Credit watch, credit ratings, capital structure</w:t>
      </w:r>
    </w:p>
    <w:p w14:paraId="19BB8BFC" w14:textId="4B6F8FD9" w:rsidR="00E054C1" w:rsidRDefault="00E054C1" w:rsidP="00E054C1">
      <w:pPr>
        <w:rPr>
          <w:rFonts w:ascii="Times New Roman" w:hAnsi="Times New Roman" w:cs="Times New Roman"/>
          <w:sz w:val="24"/>
          <w:szCs w:val="24"/>
        </w:rPr>
        <w:sectPr w:rsidR="00E054C1" w:rsidSect="00B32F02">
          <w:footerReference w:type="default" r:id="rId10"/>
          <w:pgSz w:w="12240" w:h="15840" w:code="1"/>
          <w:pgMar w:top="1440" w:right="1440" w:bottom="1440" w:left="1440" w:header="720" w:footer="720" w:gutter="0"/>
          <w:cols w:space="720"/>
          <w:docGrid w:linePitch="360"/>
        </w:sectPr>
      </w:pPr>
      <w:r w:rsidRPr="001407DC">
        <w:rPr>
          <w:rFonts w:ascii="Times New Roman" w:hAnsi="Times New Roman" w:cs="Times New Roman"/>
          <w:i/>
          <w:iCs/>
          <w:sz w:val="24"/>
          <w:szCs w:val="24"/>
        </w:rPr>
        <w:t xml:space="preserve">JEL Classification: </w:t>
      </w:r>
      <w:r w:rsidRPr="001407DC">
        <w:rPr>
          <w:rFonts w:ascii="Times New Roman" w:hAnsi="Times New Roman" w:cs="Times New Roman"/>
          <w:iCs/>
          <w:sz w:val="24"/>
          <w:szCs w:val="24"/>
        </w:rPr>
        <w:t>G14, G</w:t>
      </w:r>
      <w:proofErr w:type="gramStart"/>
      <w:r w:rsidRPr="001407DC">
        <w:rPr>
          <w:rFonts w:ascii="Times New Roman" w:hAnsi="Times New Roman" w:cs="Times New Roman"/>
          <w:iCs/>
          <w:sz w:val="24"/>
          <w:szCs w:val="24"/>
        </w:rPr>
        <w:t>24 ,G</w:t>
      </w:r>
      <w:proofErr w:type="gramEnd"/>
      <w:r w:rsidRPr="001407DC">
        <w:rPr>
          <w:rFonts w:ascii="Times New Roman" w:hAnsi="Times New Roman" w:cs="Times New Roman"/>
          <w:iCs/>
          <w:sz w:val="24"/>
          <w:szCs w:val="24"/>
        </w:rPr>
        <w:t>3</w:t>
      </w:r>
      <w:r w:rsidR="00CC1CD5">
        <w:rPr>
          <w:rFonts w:ascii="Times New Roman" w:hAnsi="Times New Roman" w:cs="Times New Roman"/>
          <w:iCs/>
          <w:sz w:val="24"/>
          <w:szCs w:val="24"/>
        </w:rPr>
        <w:t>2</w:t>
      </w:r>
    </w:p>
    <w:p w14:paraId="4AF61019" w14:textId="41B697AB" w:rsidR="00E054C1" w:rsidRPr="00BE0CF7" w:rsidRDefault="00E054C1" w:rsidP="00906545">
      <w:pPr>
        <w:pStyle w:val="ListParagraph"/>
        <w:widowControl w:val="0"/>
        <w:numPr>
          <w:ilvl w:val="0"/>
          <w:numId w:val="3"/>
        </w:numPr>
        <w:spacing w:after="0" w:line="240" w:lineRule="auto"/>
        <w:rPr>
          <w:rFonts w:ascii="Times New Roman" w:hAnsi="Times New Roman" w:cs="Times New Roman"/>
          <w:sz w:val="24"/>
          <w:szCs w:val="24"/>
        </w:rPr>
      </w:pPr>
      <w:r w:rsidRPr="00BE0CF7">
        <w:rPr>
          <w:rFonts w:ascii="Times New Roman" w:hAnsi="Times New Roman" w:cs="Times New Roman"/>
          <w:b/>
          <w:sz w:val="24"/>
          <w:szCs w:val="24"/>
        </w:rPr>
        <w:lastRenderedPageBreak/>
        <w:t>Introduction</w:t>
      </w:r>
    </w:p>
    <w:p w14:paraId="0D471CBE" w14:textId="77777777" w:rsidR="00906545" w:rsidRDefault="00906545" w:rsidP="00906545">
      <w:pPr>
        <w:widowControl w:val="0"/>
        <w:spacing w:after="0" w:line="240" w:lineRule="auto"/>
        <w:ind w:firstLine="360"/>
        <w:rPr>
          <w:rFonts w:ascii="Times New Roman" w:hAnsi="Times New Roman" w:cs="Times New Roman"/>
          <w:sz w:val="24"/>
          <w:szCs w:val="24"/>
        </w:rPr>
      </w:pPr>
    </w:p>
    <w:p w14:paraId="4F6A565C" w14:textId="3FC4A7A4" w:rsidR="00D15B42" w:rsidRPr="00F95F3D" w:rsidRDefault="00DE6EDB" w:rsidP="00185C56">
      <w:pPr>
        <w:spacing w:after="0" w:line="360" w:lineRule="auto"/>
        <w:ind w:firstLine="432"/>
        <w:rPr>
          <w:rFonts w:ascii="Times New Roman" w:hAnsi="Times New Roman" w:cs="Times New Roman"/>
          <w:color w:val="000000" w:themeColor="text1"/>
          <w:sz w:val="24"/>
          <w:szCs w:val="24"/>
        </w:rPr>
      </w:pPr>
      <w:bookmarkStart w:id="3" w:name="_Hlk78968231"/>
      <w:bookmarkStart w:id="4" w:name="_Hlk43195705"/>
      <w:r w:rsidRPr="00BC4D99">
        <w:rPr>
          <w:rFonts w:ascii="Times New Roman" w:hAnsi="Times New Roman" w:cs="Times New Roman"/>
          <w:sz w:val="24"/>
          <w:szCs w:val="24"/>
        </w:rPr>
        <w:t>Finance literature</w:t>
      </w:r>
      <w:r w:rsidR="00FF77A6" w:rsidRPr="00BC4D99">
        <w:rPr>
          <w:rFonts w:ascii="Times New Roman" w:hAnsi="Times New Roman" w:cs="Times New Roman"/>
          <w:sz w:val="24"/>
          <w:szCs w:val="24"/>
        </w:rPr>
        <w:t xml:space="preserve"> </w:t>
      </w:r>
      <w:r w:rsidR="008443E8" w:rsidRPr="00BC4D99">
        <w:rPr>
          <w:rFonts w:ascii="Times New Roman" w:hAnsi="Times New Roman" w:cs="Times New Roman"/>
          <w:sz w:val="24"/>
          <w:szCs w:val="24"/>
        </w:rPr>
        <w:t xml:space="preserve">has traditionally offered </w:t>
      </w:r>
      <w:r w:rsidR="00FF77A6" w:rsidRPr="00BC4D99">
        <w:rPr>
          <w:rFonts w:ascii="Times New Roman" w:hAnsi="Times New Roman" w:cs="Times New Roman"/>
          <w:sz w:val="24"/>
          <w:szCs w:val="24"/>
        </w:rPr>
        <w:t xml:space="preserve">two </w:t>
      </w:r>
      <w:r w:rsidR="007B24D6" w:rsidRPr="00BC4D99">
        <w:rPr>
          <w:rFonts w:ascii="Times New Roman" w:hAnsi="Times New Roman" w:cs="Times New Roman"/>
          <w:sz w:val="24"/>
          <w:szCs w:val="24"/>
        </w:rPr>
        <w:t xml:space="preserve">primary </w:t>
      </w:r>
      <w:r w:rsidR="00FF77A6" w:rsidRPr="00BC4D99">
        <w:rPr>
          <w:rFonts w:ascii="Times New Roman" w:hAnsi="Times New Roman" w:cs="Times New Roman"/>
          <w:sz w:val="24"/>
          <w:szCs w:val="24"/>
        </w:rPr>
        <w:t xml:space="preserve">models </w:t>
      </w:r>
      <w:r w:rsidR="003A3B76" w:rsidRPr="00BC4D99">
        <w:rPr>
          <w:rFonts w:ascii="Times New Roman" w:hAnsi="Times New Roman" w:cs="Times New Roman"/>
          <w:sz w:val="24"/>
          <w:szCs w:val="24"/>
        </w:rPr>
        <w:t xml:space="preserve">of static trade-off and pecking order </w:t>
      </w:r>
      <w:r w:rsidR="007C7069" w:rsidRPr="00BC4D99">
        <w:rPr>
          <w:rFonts w:ascii="Times New Roman" w:hAnsi="Times New Roman" w:cs="Times New Roman"/>
          <w:sz w:val="24"/>
          <w:szCs w:val="24"/>
        </w:rPr>
        <w:t>as explanations for debt-equity financing decision</w:t>
      </w:r>
      <w:r w:rsidR="002D5949" w:rsidRPr="00BC4D99">
        <w:rPr>
          <w:rFonts w:ascii="Times New Roman" w:hAnsi="Times New Roman" w:cs="Times New Roman"/>
          <w:sz w:val="24"/>
          <w:szCs w:val="24"/>
        </w:rPr>
        <w:t>s</w:t>
      </w:r>
      <w:r w:rsidR="007C7069" w:rsidRPr="00BC4D99">
        <w:rPr>
          <w:rFonts w:ascii="Times New Roman" w:hAnsi="Times New Roman" w:cs="Times New Roman"/>
          <w:sz w:val="24"/>
          <w:szCs w:val="24"/>
        </w:rPr>
        <w:t>.</w:t>
      </w:r>
      <w:r w:rsidR="003A3B76" w:rsidRPr="00BC4D99">
        <w:rPr>
          <w:rFonts w:ascii="Times New Roman" w:hAnsi="Times New Roman" w:cs="Times New Roman"/>
          <w:sz w:val="24"/>
          <w:szCs w:val="24"/>
        </w:rPr>
        <w:t xml:space="preserve">  However, these models are viewed by </w:t>
      </w:r>
      <w:proofErr w:type="spellStart"/>
      <w:r w:rsidR="00011EF8" w:rsidRPr="00BC4D99">
        <w:rPr>
          <w:rFonts w:ascii="Times New Roman" w:hAnsi="Times New Roman" w:cs="Times New Roman"/>
          <w:sz w:val="24"/>
          <w:szCs w:val="24"/>
        </w:rPr>
        <w:t>Kisgen</w:t>
      </w:r>
      <w:proofErr w:type="spellEnd"/>
      <w:r w:rsidR="00011EF8" w:rsidRPr="00BC4D99">
        <w:rPr>
          <w:rFonts w:ascii="Times New Roman" w:hAnsi="Times New Roman" w:cs="Times New Roman"/>
          <w:sz w:val="24"/>
          <w:szCs w:val="24"/>
        </w:rPr>
        <w:t xml:space="preserve"> (2006) </w:t>
      </w:r>
      <w:r w:rsidR="003A3B76" w:rsidRPr="00BC4D99">
        <w:rPr>
          <w:rFonts w:ascii="Times New Roman" w:hAnsi="Times New Roman" w:cs="Times New Roman"/>
          <w:sz w:val="24"/>
          <w:szCs w:val="24"/>
        </w:rPr>
        <w:t xml:space="preserve">as inadequate </w:t>
      </w:r>
      <w:r w:rsidR="00011EF8" w:rsidRPr="00BC4D99">
        <w:rPr>
          <w:rFonts w:ascii="Times New Roman" w:hAnsi="Times New Roman" w:cs="Times New Roman"/>
          <w:sz w:val="24"/>
          <w:szCs w:val="24"/>
        </w:rPr>
        <w:t xml:space="preserve">because they do not </w:t>
      </w:r>
      <w:r w:rsidR="00F405B0" w:rsidRPr="00BC4D99">
        <w:rPr>
          <w:rFonts w:ascii="Times New Roman" w:hAnsi="Times New Roman" w:cs="Times New Roman"/>
          <w:sz w:val="24"/>
          <w:szCs w:val="24"/>
        </w:rPr>
        <w:t xml:space="preserve">account for </w:t>
      </w:r>
      <w:r w:rsidR="009B2278" w:rsidRPr="00BC4D99">
        <w:rPr>
          <w:rFonts w:ascii="Times New Roman" w:hAnsi="Times New Roman" w:cs="Times New Roman"/>
          <w:sz w:val="24"/>
          <w:szCs w:val="24"/>
        </w:rPr>
        <w:t xml:space="preserve">how management </w:t>
      </w:r>
      <w:r w:rsidR="00684267" w:rsidRPr="00BC4D99">
        <w:rPr>
          <w:rFonts w:ascii="Times New Roman" w:hAnsi="Times New Roman" w:cs="Times New Roman"/>
          <w:sz w:val="24"/>
          <w:szCs w:val="24"/>
        </w:rPr>
        <w:t xml:space="preserve">views </w:t>
      </w:r>
      <w:r w:rsidR="009B2278" w:rsidRPr="00BC4D99">
        <w:rPr>
          <w:rFonts w:ascii="Times New Roman" w:hAnsi="Times New Roman" w:cs="Times New Roman"/>
          <w:sz w:val="24"/>
          <w:szCs w:val="24"/>
        </w:rPr>
        <w:t>ca</w:t>
      </w:r>
      <w:r w:rsidR="00174A3D" w:rsidRPr="00BC4D99">
        <w:rPr>
          <w:rFonts w:ascii="Times New Roman" w:hAnsi="Times New Roman" w:cs="Times New Roman"/>
          <w:sz w:val="24"/>
          <w:szCs w:val="24"/>
        </w:rPr>
        <w:t xml:space="preserve">pital structure </w:t>
      </w:r>
      <w:r w:rsidR="00BB78B8" w:rsidRPr="00BC4D99">
        <w:rPr>
          <w:rFonts w:ascii="Times New Roman" w:hAnsi="Times New Roman" w:cs="Times New Roman"/>
          <w:sz w:val="24"/>
          <w:szCs w:val="24"/>
        </w:rPr>
        <w:t xml:space="preserve">changes </w:t>
      </w:r>
      <w:r w:rsidR="009B2278" w:rsidRPr="00BC4D99">
        <w:rPr>
          <w:rFonts w:ascii="Times New Roman" w:hAnsi="Times New Roman" w:cs="Times New Roman"/>
          <w:sz w:val="24"/>
          <w:szCs w:val="24"/>
        </w:rPr>
        <w:t xml:space="preserve">as </w:t>
      </w:r>
      <w:r w:rsidR="00BB78B8" w:rsidRPr="00BC4D99">
        <w:rPr>
          <w:rFonts w:ascii="Times New Roman" w:hAnsi="Times New Roman" w:cs="Times New Roman"/>
          <w:sz w:val="24"/>
          <w:szCs w:val="24"/>
        </w:rPr>
        <w:t xml:space="preserve">a tool </w:t>
      </w:r>
      <w:r w:rsidR="009B2278" w:rsidRPr="00BC4D99">
        <w:rPr>
          <w:rFonts w:ascii="Times New Roman" w:hAnsi="Times New Roman" w:cs="Times New Roman"/>
          <w:sz w:val="24"/>
          <w:szCs w:val="24"/>
        </w:rPr>
        <w:t xml:space="preserve">to obtain favorable </w:t>
      </w:r>
      <w:r w:rsidR="00174A3D" w:rsidRPr="00BC4D99">
        <w:rPr>
          <w:rFonts w:ascii="Times New Roman" w:hAnsi="Times New Roman" w:cs="Times New Roman"/>
          <w:sz w:val="24"/>
          <w:szCs w:val="24"/>
        </w:rPr>
        <w:t xml:space="preserve">rating changes </w:t>
      </w:r>
      <w:r w:rsidR="00BB78B8" w:rsidRPr="00BC4D99">
        <w:rPr>
          <w:rFonts w:ascii="Times New Roman" w:hAnsi="Times New Roman" w:cs="Times New Roman"/>
          <w:sz w:val="24"/>
          <w:szCs w:val="24"/>
        </w:rPr>
        <w:t>that</w:t>
      </w:r>
      <w:r w:rsidR="009B2278" w:rsidRPr="00BC4D99">
        <w:rPr>
          <w:rFonts w:ascii="Times New Roman" w:hAnsi="Times New Roman" w:cs="Times New Roman"/>
          <w:sz w:val="24"/>
          <w:szCs w:val="24"/>
        </w:rPr>
        <w:t xml:space="preserve"> lower the overall cost </w:t>
      </w:r>
      <w:r w:rsidR="009B2278" w:rsidRPr="00F95F3D">
        <w:rPr>
          <w:rFonts w:ascii="Times New Roman" w:hAnsi="Times New Roman" w:cs="Times New Roman"/>
          <w:color w:val="000000" w:themeColor="text1"/>
          <w:sz w:val="24"/>
          <w:szCs w:val="24"/>
        </w:rPr>
        <w:t xml:space="preserve">of </w:t>
      </w:r>
      <w:r w:rsidR="00BC4D99" w:rsidRPr="00F95F3D">
        <w:rPr>
          <w:rFonts w:ascii="Times New Roman" w:hAnsi="Times New Roman" w:cs="Times New Roman"/>
          <w:color w:val="000000" w:themeColor="text1"/>
          <w:sz w:val="24"/>
          <w:szCs w:val="24"/>
        </w:rPr>
        <w:t>financin</w:t>
      </w:r>
      <w:r w:rsidR="00792421" w:rsidRPr="00F95F3D">
        <w:rPr>
          <w:rFonts w:ascii="Times New Roman" w:hAnsi="Times New Roman" w:cs="Times New Roman"/>
          <w:color w:val="000000" w:themeColor="text1"/>
          <w:sz w:val="24"/>
          <w:szCs w:val="24"/>
        </w:rPr>
        <w:t>g</w:t>
      </w:r>
      <w:r w:rsidR="009B2278" w:rsidRPr="00F95F3D">
        <w:rPr>
          <w:rFonts w:ascii="Times New Roman" w:hAnsi="Times New Roman" w:cs="Times New Roman"/>
          <w:color w:val="000000" w:themeColor="text1"/>
          <w:sz w:val="24"/>
          <w:szCs w:val="24"/>
        </w:rPr>
        <w:t xml:space="preserve">.  </w:t>
      </w:r>
      <w:r w:rsidR="00BC4D99" w:rsidRPr="00F95F3D">
        <w:rPr>
          <w:rFonts w:ascii="Times New Roman" w:hAnsi="Times New Roman" w:cs="Times New Roman"/>
          <w:color w:val="000000" w:themeColor="text1"/>
          <w:sz w:val="24"/>
          <w:szCs w:val="24"/>
        </w:rPr>
        <w:t>U</w:t>
      </w:r>
      <w:r w:rsidR="00F448D5" w:rsidRPr="00F95F3D">
        <w:rPr>
          <w:rFonts w:ascii="Times New Roman" w:hAnsi="Times New Roman" w:cs="Times New Roman"/>
          <w:color w:val="000000" w:themeColor="text1"/>
          <w:sz w:val="24"/>
          <w:szCs w:val="24"/>
        </w:rPr>
        <w:t xml:space="preserve">sing annual </w:t>
      </w:r>
      <w:r w:rsidR="00017D65">
        <w:rPr>
          <w:rFonts w:ascii="Times New Roman" w:hAnsi="Times New Roman" w:cs="Times New Roman"/>
          <w:color w:val="000000" w:themeColor="text1"/>
          <w:sz w:val="24"/>
          <w:szCs w:val="24"/>
        </w:rPr>
        <w:t>measures of capital structure adjustments following identification of corporate credit ratings</w:t>
      </w:r>
      <w:r w:rsidR="00BC4D99" w:rsidRPr="00F95F3D">
        <w:rPr>
          <w:rFonts w:ascii="Times New Roman" w:hAnsi="Times New Roman" w:cs="Times New Roman"/>
          <w:color w:val="000000" w:themeColor="text1"/>
          <w:sz w:val="24"/>
          <w:szCs w:val="24"/>
        </w:rPr>
        <w:t xml:space="preserve">, </w:t>
      </w:r>
      <w:proofErr w:type="spellStart"/>
      <w:r w:rsidR="00BC4D99" w:rsidRPr="00F95F3D">
        <w:rPr>
          <w:rFonts w:ascii="Times New Roman" w:hAnsi="Times New Roman" w:cs="Times New Roman"/>
          <w:color w:val="000000" w:themeColor="text1"/>
          <w:sz w:val="24"/>
          <w:szCs w:val="24"/>
        </w:rPr>
        <w:t>Kisgen</w:t>
      </w:r>
      <w:proofErr w:type="spellEnd"/>
      <w:r w:rsidR="00BC4D99" w:rsidRPr="00F95F3D">
        <w:rPr>
          <w:rFonts w:ascii="Times New Roman" w:hAnsi="Times New Roman" w:cs="Times New Roman"/>
          <w:color w:val="000000" w:themeColor="text1"/>
          <w:sz w:val="24"/>
          <w:szCs w:val="24"/>
        </w:rPr>
        <w:t xml:space="preserve"> shows empirically</w:t>
      </w:r>
      <w:r w:rsidR="00F448D5" w:rsidRPr="00F95F3D">
        <w:rPr>
          <w:rFonts w:ascii="Times New Roman" w:hAnsi="Times New Roman" w:cs="Times New Roman"/>
          <w:color w:val="000000" w:themeColor="text1"/>
          <w:sz w:val="24"/>
          <w:szCs w:val="24"/>
        </w:rPr>
        <w:t xml:space="preserve"> </w:t>
      </w:r>
      <w:r w:rsidR="00935E1F" w:rsidRPr="00F95F3D">
        <w:rPr>
          <w:rFonts w:ascii="Times New Roman" w:hAnsi="Times New Roman" w:cs="Times New Roman"/>
          <w:color w:val="000000" w:themeColor="text1"/>
          <w:sz w:val="24"/>
          <w:szCs w:val="24"/>
        </w:rPr>
        <w:t xml:space="preserve">that </w:t>
      </w:r>
      <w:r w:rsidR="00F2135B" w:rsidRPr="00F95F3D">
        <w:rPr>
          <w:rFonts w:ascii="Times New Roman" w:hAnsi="Times New Roman" w:cs="Times New Roman"/>
          <w:color w:val="000000" w:themeColor="text1"/>
          <w:sz w:val="24"/>
          <w:szCs w:val="24"/>
        </w:rPr>
        <w:t xml:space="preserve">firms </w:t>
      </w:r>
      <w:r w:rsidR="00350B39" w:rsidRPr="00F95F3D">
        <w:rPr>
          <w:rFonts w:ascii="Times New Roman" w:hAnsi="Times New Roman" w:cs="Times New Roman"/>
          <w:color w:val="000000" w:themeColor="text1"/>
          <w:sz w:val="24"/>
          <w:szCs w:val="24"/>
        </w:rPr>
        <w:t xml:space="preserve">near </w:t>
      </w:r>
      <w:r w:rsidR="00F2135B" w:rsidRPr="00F95F3D">
        <w:rPr>
          <w:rFonts w:ascii="Times New Roman" w:hAnsi="Times New Roman" w:cs="Times New Roman"/>
          <w:color w:val="000000" w:themeColor="text1"/>
          <w:sz w:val="24"/>
          <w:szCs w:val="24"/>
        </w:rPr>
        <w:t>broad rating change</w:t>
      </w:r>
      <w:r w:rsidR="00F04E3C" w:rsidRPr="00F95F3D">
        <w:rPr>
          <w:rFonts w:ascii="Times New Roman" w:hAnsi="Times New Roman" w:cs="Times New Roman"/>
          <w:color w:val="000000" w:themeColor="text1"/>
          <w:sz w:val="24"/>
          <w:szCs w:val="24"/>
        </w:rPr>
        <w:t>s</w:t>
      </w:r>
      <w:r w:rsidR="00F2135B" w:rsidRPr="00F95F3D">
        <w:rPr>
          <w:rFonts w:ascii="Times New Roman" w:hAnsi="Times New Roman" w:cs="Times New Roman"/>
          <w:color w:val="000000" w:themeColor="text1"/>
          <w:sz w:val="24"/>
          <w:szCs w:val="24"/>
        </w:rPr>
        <w:t xml:space="preserve"> are </w:t>
      </w:r>
      <w:r w:rsidR="006D4DF6" w:rsidRPr="00F95F3D">
        <w:rPr>
          <w:rFonts w:ascii="Times New Roman" w:hAnsi="Times New Roman" w:cs="Times New Roman"/>
          <w:color w:val="000000" w:themeColor="text1"/>
          <w:sz w:val="24"/>
          <w:szCs w:val="24"/>
        </w:rPr>
        <w:t xml:space="preserve">associated with </w:t>
      </w:r>
      <w:r w:rsidR="0021011E" w:rsidRPr="00F95F3D">
        <w:rPr>
          <w:rFonts w:ascii="Times New Roman" w:hAnsi="Times New Roman" w:cs="Times New Roman"/>
          <w:color w:val="000000" w:themeColor="text1"/>
          <w:sz w:val="24"/>
          <w:szCs w:val="24"/>
        </w:rPr>
        <w:t xml:space="preserve">greater </w:t>
      </w:r>
      <w:r w:rsidR="006D4DF6" w:rsidRPr="00F95F3D">
        <w:rPr>
          <w:rFonts w:ascii="Times New Roman" w:hAnsi="Times New Roman" w:cs="Times New Roman"/>
          <w:color w:val="000000" w:themeColor="text1"/>
          <w:sz w:val="24"/>
          <w:szCs w:val="24"/>
        </w:rPr>
        <w:t>net debt declines</w:t>
      </w:r>
      <w:r w:rsidR="00017D65">
        <w:rPr>
          <w:rFonts w:ascii="Times New Roman" w:hAnsi="Times New Roman" w:cs="Times New Roman"/>
          <w:color w:val="000000" w:themeColor="text1"/>
          <w:sz w:val="24"/>
          <w:szCs w:val="24"/>
        </w:rPr>
        <w:t xml:space="preserve"> than firms not near broad rating changes</w:t>
      </w:r>
      <w:r w:rsidR="00D6502A" w:rsidRPr="00F95F3D">
        <w:rPr>
          <w:rFonts w:ascii="Times New Roman" w:hAnsi="Times New Roman" w:cs="Times New Roman"/>
          <w:color w:val="000000" w:themeColor="text1"/>
          <w:sz w:val="24"/>
          <w:szCs w:val="24"/>
        </w:rPr>
        <w:t>.</w:t>
      </w:r>
      <w:r w:rsidR="00BC4D99" w:rsidRPr="00F95F3D">
        <w:rPr>
          <w:rFonts w:ascii="Times New Roman" w:hAnsi="Times New Roman" w:cs="Times New Roman"/>
          <w:color w:val="000000" w:themeColor="text1"/>
          <w:sz w:val="24"/>
          <w:szCs w:val="24"/>
        </w:rPr>
        <w:t xml:space="preserve"> </w:t>
      </w:r>
      <w:r w:rsidR="000F734D">
        <w:rPr>
          <w:rFonts w:ascii="Times New Roman" w:hAnsi="Times New Roman" w:cs="Times New Roman"/>
          <w:color w:val="000000" w:themeColor="text1"/>
          <w:sz w:val="24"/>
          <w:szCs w:val="24"/>
        </w:rPr>
        <w:t xml:space="preserve"> </w:t>
      </w:r>
      <w:r w:rsidR="00D87A48">
        <w:rPr>
          <w:rFonts w:ascii="Times New Roman" w:hAnsi="Times New Roman" w:cs="Times New Roman"/>
          <w:color w:val="000000" w:themeColor="text1"/>
          <w:sz w:val="24"/>
          <w:szCs w:val="24"/>
        </w:rPr>
        <w:t xml:space="preserve">He </w:t>
      </w:r>
      <w:r w:rsidR="00BC4D99" w:rsidRPr="00F95F3D">
        <w:rPr>
          <w:rFonts w:ascii="Times New Roman" w:hAnsi="Times New Roman" w:cs="Times New Roman"/>
          <w:color w:val="000000" w:themeColor="text1"/>
          <w:sz w:val="24"/>
          <w:szCs w:val="24"/>
        </w:rPr>
        <w:t xml:space="preserve">concludes </w:t>
      </w:r>
      <w:r w:rsidR="00AC6941">
        <w:rPr>
          <w:rFonts w:ascii="Times New Roman" w:hAnsi="Times New Roman" w:cs="Times New Roman"/>
          <w:color w:val="000000" w:themeColor="text1"/>
          <w:sz w:val="24"/>
          <w:szCs w:val="24"/>
        </w:rPr>
        <w:t xml:space="preserve">from this </w:t>
      </w:r>
      <w:r w:rsidR="00BC4D99" w:rsidRPr="00F95F3D">
        <w:rPr>
          <w:rFonts w:ascii="Times New Roman" w:hAnsi="Times New Roman" w:cs="Times New Roman"/>
          <w:color w:val="000000" w:themeColor="text1"/>
          <w:sz w:val="24"/>
          <w:szCs w:val="24"/>
        </w:rPr>
        <w:t>that it is the intense focus by management on exploiting beneficial moves in discrete costs associated with changes in ratings levels that strongly motivate capital structure decisions.</w:t>
      </w:r>
    </w:p>
    <w:p w14:paraId="77F2F932" w14:textId="7E3D074E" w:rsidR="0067067E" w:rsidRDefault="00F470F0" w:rsidP="00FC675C">
      <w:pPr>
        <w:pStyle w:val="FootnoteText"/>
        <w:spacing w:line="360" w:lineRule="auto"/>
        <w:ind w:firstLine="360"/>
        <w:rPr>
          <w:rFonts w:ascii="Times New Roman" w:hAnsi="Times New Roman" w:cs="Times New Roman"/>
          <w:sz w:val="24"/>
          <w:szCs w:val="24"/>
        </w:rPr>
      </w:pPr>
      <w:bookmarkStart w:id="5" w:name="_Hlk78968518"/>
      <w:bookmarkEnd w:id="3"/>
      <w:r>
        <w:rPr>
          <w:rFonts w:ascii="Times New Roman" w:hAnsi="Times New Roman" w:cs="Times New Roman"/>
          <w:color w:val="000000" w:themeColor="text1"/>
          <w:sz w:val="24"/>
          <w:szCs w:val="24"/>
        </w:rPr>
        <w:t xml:space="preserve">We build upon the evidence provided by </w:t>
      </w:r>
      <w:proofErr w:type="spellStart"/>
      <w:r>
        <w:rPr>
          <w:rFonts w:ascii="Times New Roman" w:hAnsi="Times New Roman" w:cs="Times New Roman"/>
          <w:color w:val="000000" w:themeColor="text1"/>
          <w:sz w:val="24"/>
          <w:szCs w:val="24"/>
        </w:rPr>
        <w:t>Kisgen</w:t>
      </w:r>
      <w:proofErr w:type="spellEnd"/>
      <w:r>
        <w:rPr>
          <w:rFonts w:ascii="Times New Roman" w:hAnsi="Times New Roman" w:cs="Times New Roman"/>
          <w:color w:val="000000" w:themeColor="text1"/>
          <w:sz w:val="24"/>
          <w:szCs w:val="24"/>
        </w:rPr>
        <w:t xml:space="preserve"> in his exploration of th</w:t>
      </w:r>
      <w:r w:rsidR="00AC6941">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w:t>
      </w:r>
      <w:r w:rsidR="00F07781">
        <w:rPr>
          <w:rFonts w:ascii="Times New Roman" w:hAnsi="Times New Roman" w:cs="Times New Roman"/>
          <w:color w:val="000000" w:themeColor="text1"/>
          <w:sz w:val="24"/>
          <w:szCs w:val="24"/>
        </w:rPr>
        <w:t xml:space="preserve">Credit Rating – Capital Structure (CR-CS) </w:t>
      </w:r>
      <w:r>
        <w:rPr>
          <w:rFonts w:ascii="Times New Roman" w:hAnsi="Times New Roman" w:cs="Times New Roman"/>
          <w:color w:val="000000" w:themeColor="text1"/>
          <w:sz w:val="24"/>
          <w:szCs w:val="24"/>
        </w:rPr>
        <w:t xml:space="preserve">hypothesis by </w:t>
      </w:r>
      <w:r w:rsidR="009D5932">
        <w:rPr>
          <w:rFonts w:ascii="Times New Roman" w:hAnsi="Times New Roman" w:cs="Times New Roman"/>
          <w:color w:val="000000" w:themeColor="text1"/>
          <w:sz w:val="24"/>
          <w:szCs w:val="24"/>
        </w:rPr>
        <w:t xml:space="preserve">using methodology that more directly examines the </w:t>
      </w:r>
      <w:r w:rsidR="002450D0">
        <w:rPr>
          <w:rFonts w:ascii="Times New Roman" w:hAnsi="Times New Roman" w:cs="Times New Roman"/>
          <w:color w:val="000000" w:themeColor="text1"/>
          <w:sz w:val="24"/>
          <w:szCs w:val="24"/>
        </w:rPr>
        <w:t xml:space="preserve">fundamental </w:t>
      </w:r>
      <w:r w:rsidR="009D5932">
        <w:rPr>
          <w:rFonts w:ascii="Times New Roman" w:hAnsi="Times New Roman" w:cs="Times New Roman"/>
          <w:color w:val="000000" w:themeColor="text1"/>
          <w:sz w:val="24"/>
          <w:szCs w:val="24"/>
        </w:rPr>
        <w:t xml:space="preserve">contention of CR-CS that firms adjust capital structure to obtain favorable rating changes.  </w:t>
      </w:r>
      <w:r w:rsidR="00AC6941">
        <w:rPr>
          <w:rFonts w:ascii="Times New Roman" w:hAnsi="Times New Roman" w:cs="Times New Roman"/>
          <w:color w:val="000000" w:themeColor="text1"/>
          <w:sz w:val="24"/>
          <w:szCs w:val="24"/>
        </w:rPr>
        <w:t>However, o</w:t>
      </w:r>
      <w:r w:rsidR="009D5932">
        <w:rPr>
          <w:rFonts w:ascii="Times New Roman" w:hAnsi="Times New Roman" w:cs="Times New Roman"/>
          <w:color w:val="000000" w:themeColor="text1"/>
          <w:sz w:val="24"/>
          <w:szCs w:val="24"/>
        </w:rPr>
        <w:t xml:space="preserve">ur methodology differs from that used by </w:t>
      </w:r>
      <w:proofErr w:type="spellStart"/>
      <w:r w:rsidR="009D5932">
        <w:rPr>
          <w:rFonts w:ascii="Times New Roman" w:hAnsi="Times New Roman" w:cs="Times New Roman"/>
          <w:color w:val="000000" w:themeColor="text1"/>
          <w:sz w:val="24"/>
          <w:szCs w:val="24"/>
        </w:rPr>
        <w:t>Kisgen</w:t>
      </w:r>
      <w:proofErr w:type="spellEnd"/>
      <w:r w:rsidR="009D5932">
        <w:rPr>
          <w:rFonts w:ascii="Times New Roman" w:hAnsi="Times New Roman" w:cs="Times New Roman"/>
          <w:color w:val="000000" w:themeColor="text1"/>
          <w:sz w:val="24"/>
          <w:szCs w:val="24"/>
        </w:rPr>
        <w:t xml:space="preserve"> in </w:t>
      </w:r>
      <w:r w:rsidR="00185C56">
        <w:rPr>
          <w:rFonts w:ascii="Times New Roman" w:hAnsi="Times New Roman" w:cs="Times New Roman"/>
          <w:color w:val="000000" w:themeColor="text1"/>
          <w:sz w:val="24"/>
          <w:szCs w:val="24"/>
        </w:rPr>
        <w:t>four</w:t>
      </w:r>
      <w:r w:rsidR="009D5932">
        <w:rPr>
          <w:rFonts w:ascii="Times New Roman" w:hAnsi="Times New Roman" w:cs="Times New Roman"/>
          <w:color w:val="000000" w:themeColor="text1"/>
          <w:sz w:val="24"/>
          <w:szCs w:val="24"/>
        </w:rPr>
        <w:t xml:space="preserve"> important ways.  </w:t>
      </w:r>
      <w:r w:rsidR="00D16D1E">
        <w:rPr>
          <w:rFonts w:ascii="Times New Roman" w:hAnsi="Times New Roman" w:cs="Times New Roman"/>
          <w:sz w:val="24"/>
          <w:szCs w:val="24"/>
        </w:rPr>
        <w:t>First</w:t>
      </w:r>
      <w:r w:rsidR="009D4A84">
        <w:rPr>
          <w:rFonts w:ascii="Times New Roman" w:hAnsi="Times New Roman" w:cs="Times New Roman"/>
          <w:sz w:val="24"/>
          <w:szCs w:val="24"/>
        </w:rPr>
        <w:t xml:space="preserve">, </w:t>
      </w:r>
      <w:r w:rsidR="005C2441">
        <w:rPr>
          <w:rFonts w:ascii="Times New Roman" w:hAnsi="Times New Roman" w:cs="Times New Roman"/>
          <w:sz w:val="24"/>
          <w:szCs w:val="24"/>
        </w:rPr>
        <w:t>rather than focus</w:t>
      </w:r>
      <w:r w:rsidR="007C040E">
        <w:rPr>
          <w:rFonts w:ascii="Times New Roman" w:hAnsi="Times New Roman" w:cs="Times New Roman"/>
          <w:sz w:val="24"/>
          <w:szCs w:val="24"/>
        </w:rPr>
        <w:t>ing</w:t>
      </w:r>
      <w:r w:rsidR="005C2441">
        <w:rPr>
          <w:rFonts w:ascii="Times New Roman" w:hAnsi="Times New Roman" w:cs="Times New Roman"/>
          <w:sz w:val="24"/>
          <w:szCs w:val="24"/>
        </w:rPr>
        <w:t xml:space="preserve"> on </w:t>
      </w:r>
      <w:r w:rsidR="007C040E">
        <w:rPr>
          <w:rFonts w:ascii="Times New Roman" w:hAnsi="Times New Roman" w:cs="Times New Roman"/>
          <w:sz w:val="24"/>
          <w:szCs w:val="24"/>
        </w:rPr>
        <w:t xml:space="preserve">how </w:t>
      </w:r>
      <w:r w:rsidR="005C2441">
        <w:rPr>
          <w:rFonts w:ascii="Times New Roman" w:hAnsi="Times New Roman" w:cs="Times New Roman"/>
          <w:sz w:val="24"/>
          <w:szCs w:val="24"/>
        </w:rPr>
        <w:t>p</w:t>
      </w:r>
      <w:r w:rsidR="002660B8">
        <w:rPr>
          <w:rFonts w:ascii="Times New Roman" w:hAnsi="Times New Roman" w:cs="Times New Roman"/>
          <w:sz w:val="24"/>
          <w:szCs w:val="24"/>
        </w:rPr>
        <w:t xml:space="preserve">rior </w:t>
      </w:r>
      <w:r w:rsidR="00F457C0">
        <w:rPr>
          <w:rFonts w:ascii="Times New Roman" w:hAnsi="Times New Roman" w:cs="Times New Roman"/>
          <w:sz w:val="24"/>
          <w:szCs w:val="24"/>
        </w:rPr>
        <w:t xml:space="preserve">credit rating </w:t>
      </w:r>
      <w:r w:rsidR="00501069" w:rsidRPr="002660B8">
        <w:rPr>
          <w:rFonts w:ascii="Times New Roman" w:hAnsi="Times New Roman" w:cs="Times New Roman"/>
          <w:i/>
          <w:sz w:val="24"/>
          <w:szCs w:val="24"/>
        </w:rPr>
        <w:t>levels</w:t>
      </w:r>
      <w:r w:rsidR="00F457C0">
        <w:rPr>
          <w:rFonts w:ascii="Times New Roman" w:hAnsi="Times New Roman" w:cs="Times New Roman"/>
          <w:sz w:val="24"/>
          <w:szCs w:val="24"/>
        </w:rPr>
        <w:t xml:space="preserve"> </w:t>
      </w:r>
      <w:r w:rsidR="007C040E">
        <w:rPr>
          <w:rFonts w:ascii="Times New Roman" w:hAnsi="Times New Roman" w:cs="Times New Roman"/>
          <w:sz w:val="24"/>
          <w:szCs w:val="24"/>
        </w:rPr>
        <w:t xml:space="preserve">are </w:t>
      </w:r>
      <w:r w:rsidR="002660B8">
        <w:rPr>
          <w:rFonts w:ascii="Times New Roman" w:hAnsi="Times New Roman" w:cs="Times New Roman"/>
          <w:sz w:val="24"/>
          <w:szCs w:val="24"/>
        </w:rPr>
        <w:t xml:space="preserve">associated with </w:t>
      </w:r>
      <w:r w:rsidR="00D24A04">
        <w:rPr>
          <w:rFonts w:ascii="Times New Roman" w:hAnsi="Times New Roman" w:cs="Times New Roman"/>
          <w:sz w:val="24"/>
          <w:szCs w:val="24"/>
        </w:rPr>
        <w:t>subsequent</w:t>
      </w:r>
      <w:r w:rsidR="002660B8">
        <w:rPr>
          <w:rFonts w:ascii="Times New Roman" w:hAnsi="Times New Roman" w:cs="Times New Roman"/>
          <w:sz w:val="24"/>
          <w:szCs w:val="24"/>
        </w:rPr>
        <w:t xml:space="preserve"> </w:t>
      </w:r>
      <w:r w:rsidR="00F457C0">
        <w:rPr>
          <w:rFonts w:ascii="Times New Roman" w:hAnsi="Times New Roman" w:cs="Times New Roman"/>
          <w:sz w:val="24"/>
          <w:szCs w:val="24"/>
        </w:rPr>
        <w:t>capital structure adjustments</w:t>
      </w:r>
      <w:r w:rsidR="007C040E">
        <w:rPr>
          <w:rFonts w:ascii="Times New Roman" w:hAnsi="Times New Roman" w:cs="Times New Roman"/>
          <w:sz w:val="24"/>
          <w:szCs w:val="24"/>
        </w:rPr>
        <w:t>,</w:t>
      </w:r>
      <w:r w:rsidR="00F457C0">
        <w:rPr>
          <w:rFonts w:ascii="Times New Roman" w:hAnsi="Times New Roman" w:cs="Times New Roman"/>
          <w:sz w:val="24"/>
          <w:szCs w:val="24"/>
        </w:rPr>
        <w:t xml:space="preserve"> </w:t>
      </w:r>
      <w:r w:rsidR="005C2441">
        <w:rPr>
          <w:rFonts w:ascii="Times New Roman" w:hAnsi="Times New Roman" w:cs="Times New Roman"/>
          <w:sz w:val="24"/>
          <w:szCs w:val="24"/>
        </w:rPr>
        <w:t xml:space="preserve">we investigate how </w:t>
      </w:r>
      <w:r w:rsidR="00F457C0">
        <w:rPr>
          <w:rFonts w:ascii="Times New Roman" w:hAnsi="Times New Roman" w:cs="Times New Roman"/>
          <w:sz w:val="24"/>
          <w:szCs w:val="24"/>
        </w:rPr>
        <w:t xml:space="preserve">these adjustments </w:t>
      </w:r>
      <w:r w:rsidR="00F457C0" w:rsidRPr="00AC6941">
        <w:rPr>
          <w:rFonts w:ascii="Times New Roman" w:hAnsi="Times New Roman" w:cs="Times New Roman"/>
          <w:i/>
          <w:iCs/>
          <w:sz w:val="24"/>
          <w:szCs w:val="24"/>
        </w:rPr>
        <w:t>lead</w:t>
      </w:r>
      <w:r w:rsidR="00F457C0">
        <w:rPr>
          <w:rFonts w:ascii="Times New Roman" w:hAnsi="Times New Roman" w:cs="Times New Roman"/>
          <w:sz w:val="24"/>
          <w:szCs w:val="24"/>
        </w:rPr>
        <w:t xml:space="preserve"> to </w:t>
      </w:r>
      <w:r w:rsidR="00E973D8">
        <w:rPr>
          <w:rFonts w:ascii="Times New Roman" w:hAnsi="Times New Roman" w:cs="Times New Roman"/>
          <w:sz w:val="24"/>
          <w:szCs w:val="24"/>
        </w:rPr>
        <w:t xml:space="preserve">beneficial </w:t>
      </w:r>
      <w:r w:rsidR="00F457C0">
        <w:rPr>
          <w:rFonts w:ascii="Times New Roman" w:hAnsi="Times New Roman" w:cs="Times New Roman"/>
          <w:sz w:val="24"/>
          <w:szCs w:val="24"/>
        </w:rPr>
        <w:t>rating</w:t>
      </w:r>
      <w:r w:rsidR="003474CB">
        <w:rPr>
          <w:rFonts w:ascii="Times New Roman" w:hAnsi="Times New Roman" w:cs="Times New Roman"/>
          <w:sz w:val="24"/>
          <w:szCs w:val="24"/>
        </w:rPr>
        <w:t xml:space="preserve"> </w:t>
      </w:r>
      <w:r w:rsidR="006E19A1">
        <w:rPr>
          <w:rFonts w:ascii="Times New Roman" w:hAnsi="Times New Roman" w:cs="Times New Roman"/>
          <w:sz w:val="24"/>
          <w:szCs w:val="24"/>
        </w:rPr>
        <w:t>(</w:t>
      </w:r>
      <w:r w:rsidR="003474CB">
        <w:rPr>
          <w:rFonts w:ascii="Times New Roman" w:hAnsi="Times New Roman" w:cs="Times New Roman"/>
          <w:sz w:val="24"/>
          <w:szCs w:val="24"/>
        </w:rPr>
        <w:t>and cost of capital</w:t>
      </w:r>
      <w:r w:rsidR="006E19A1">
        <w:rPr>
          <w:rFonts w:ascii="Times New Roman" w:hAnsi="Times New Roman" w:cs="Times New Roman"/>
          <w:sz w:val="24"/>
          <w:szCs w:val="24"/>
        </w:rPr>
        <w:t>)</w:t>
      </w:r>
      <w:r w:rsidR="003474CB">
        <w:rPr>
          <w:rFonts w:ascii="Times New Roman" w:hAnsi="Times New Roman" w:cs="Times New Roman"/>
          <w:sz w:val="24"/>
          <w:szCs w:val="24"/>
        </w:rPr>
        <w:t xml:space="preserve"> </w:t>
      </w:r>
      <w:r w:rsidR="002660B8" w:rsidRPr="002660B8">
        <w:rPr>
          <w:rFonts w:ascii="Times New Roman" w:hAnsi="Times New Roman" w:cs="Times New Roman"/>
          <w:i/>
          <w:sz w:val="24"/>
          <w:szCs w:val="24"/>
        </w:rPr>
        <w:t>changes</w:t>
      </w:r>
      <w:r w:rsidR="00F457C0">
        <w:rPr>
          <w:rFonts w:ascii="Times New Roman" w:hAnsi="Times New Roman" w:cs="Times New Roman"/>
          <w:sz w:val="24"/>
          <w:szCs w:val="24"/>
        </w:rPr>
        <w:t xml:space="preserve">.  </w:t>
      </w:r>
      <w:r w:rsidR="00953234">
        <w:rPr>
          <w:rFonts w:ascii="Times New Roman" w:hAnsi="Times New Roman" w:cs="Times New Roman"/>
          <w:sz w:val="24"/>
          <w:szCs w:val="24"/>
        </w:rPr>
        <w:t xml:space="preserve">Second, we </w:t>
      </w:r>
      <w:r w:rsidR="005D422E">
        <w:rPr>
          <w:rFonts w:ascii="Times New Roman" w:hAnsi="Times New Roman" w:cs="Times New Roman"/>
          <w:sz w:val="24"/>
          <w:szCs w:val="24"/>
        </w:rPr>
        <w:t xml:space="preserve">use quarterly data to reduce noise in the analysis and </w:t>
      </w:r>
      <w:r w:rsidR="00C502F7">
        <w:rPr>
          <w:rFonts w:ascii="Times New Roman" w:hAnsi="Times New Roman" w:cs="Times New Roman"/>
          <w:sz w:val="24"/>
          <w:szCs w:val="24"/>
        </w:rPr>
        <w:t xml:space="preserve">focus on debt structure changes before rating changes </w:t>
      </w:r>
      <w:r w:rsidR="005D422E">
        <w:rPr>
          <w:rFonts w:ascii="Times New Roman" w:hAnsi="Times New Roman" w:cs="Times New Roman"/>
          <w:sz w:val="24"/>
          <w:szCs w:val="24"/>
        </w:rPr>
        <w:t xml:space="preserve">to </w:t>
      </w:r>
      <w:r w:rsidR="00C502F7">
        <w:rPr>
          <w:rFonts w:ascii="Times New Roman" w:hAnsi="Times New Roman" w:cs="Times New Roman"/>
          <w:sz w:val="24"/>
          <w:szCs w:val="24"/>
        </w:rPr>
        <w:t xml:space="preserve">eliminate the possibility of </w:t>
      </w:r>
      <w:r w:rsidR="005D422E">
        <w:rPr>
          <w:rFonts w:ascii="Times New Roman" w:hAnsi="Times New Roman" w:cs="Times New Roman"/>
          <w:sz w:val="24"/>
          <w:szCs w:val="24"/>
        </w:rPr>
        <w:t xml:space="preserve">prior </w:t>
      </w:r>
      <w:r w:rsidR="00C502F7">
        <w:rPr>
          <w:rFonts w:ascii="Times New Roman" w:hAnsi="Times New Roman" w:cs="Times New Roman"/>
          <w:sz w:val="24"/>
          <w:szCs w:val="24"/>
        </w:rPr>
        <w:t xml:space="preserve">results reflecting the </w:t>
      </w:r>
      <w:r w:rsidR="007E5134">
        <w:rPr>
          <w:rFonts w:ascii="Times New Roman" w:hAnsi="Times New Roman" w:cs="Times New Roman"/>
          <w:sz w:val="24"/>
          <w:szCs w:val="24"/>
        </w:rPr>
        <w:t xml:space="preserve">resolution of uncertainty involved with the rating change decision. </w:t>
      </w:r>
      <w:r w:rsidR="00A94CD7">
        <w:rPr>
          <w:rFonts w:ascii="Times New Roman" w:hAnsi="Times New Roman" w:cs="Times New Roman"/>
          <w:sz w:val="24"/>
          <w:szCs w:val="24"/>
        </w:rPr>
        <w:t xml:space="preserve"> </w:t>
      </w:r>
      <w:r w:rsidR="00A94CD7">
        <w:rPr>
          <w:rFonts w:ascii="Times New Roman" w:hAnsi="Times New Roman" w:cs="Times New Roman"/>
          <w:color w:val="000000" w:themeColor="text1"/>
          <w:sz w:val="24"/>
          <w:szCs w:val="24"/>
        </w:rPr>
        <w:t>T</w:t>
      </w:r>
      <w:r w:rsidR="00C502F7">
        <w:rPr>
          <w:rFonts w:ascii="Times New Roman" w:hAnsi="Times New Roman" w:cs="Times New Roman"/>
          <w:sz w:val="24"/>
          <w:szCs w:val="24"/>
        </w:rPr>
        <w:t xml:space="preserve">hird, </w:t>
      </w:r>
      <w:r w:rsidR="00AC6941">
        <w:rPr>
          <w:rFonts w:ascii="Times New Roman" w:hAnsi="Times New Roman" w:cs="Times New Roman"/>
          <w:sz w:val="24"/>
          <w:szCs w:val="24"/>
        </w:rPr>
        <w:t xml:space="preserve">rather than ignore the impact of CreditWatch </w:t>
      </w:r>
      <w:r w:rsidR="00E15780">
        <w:rPr>
          <w:rFonts w:ascii="Times New Roman" w:hAnsi="Times New Roman" w:cs="Times New Roman"/>
          <w:sz w:val="24"/>
          <w:szCs w:val="24"/>
        </w:rPr>
        <w:t xml:space="preserve">(CW) </w:t>
      </w:r>
      <w:r w:rsidR="00AC6941">
        <w:rPr>
          <w:rFonts w:ascii="Times New Roman" w:hAnsi="Times New Roman" w:cs="Times New Roman"/>
          <w:sz w:val="24"/>
          <w:szCs w:val="24"/>
        </w:rPr>
        <w:t xml:space="preserve">placements by Standard and Poor’s (S&amp;P) upon the restructuring decision, </w:t>
      </w:r>
      <w:r w:rsidR="00E15780">
        <w:rPr>
          <w:rFonts w:ascii="Times New Roman" w:hAnsi="Times New Roman" w:cs="Times New Roman"/>
          <w:sz w:val="24"/>
          <w:szCs w:val="24"/>
        </w:rPr>
        <w:t xml:space="preserve">we focus on how firms </w:t>
      </w:r>
      <w:r w:rsidR="00E15780">
        <w:rPr>
          <w:rFonts w:ascii="Times New Roman" w:hAnsi="Times New Roman" w:cs="Times New Roman"/>
          <w:color w:val="000000" w:themeColor="text1"/>
          <w:sz w:val="24"/>
          <w:szCs w:val="24"/>
        </w:rPr>
        <w:t xml:space="preserve">with CW placements differ from those without to </w:t>
      </w:r>
      <w:proofErr w:type="gramStart"/>
      <w:r w:rsidR="00E15780">
        <w:rPr>
          <w:rFonts w:ascii="Times New Roman" w:hAnsi="Times New Roman" w:cs="Times New Roman"/>
          <w:color w:val="000000" w:themeColor="text1"/>
          <w:sz w:val="24"/>
          <w:szCs w:val="24"/>
        </w:rPr>
        <w:t>more deeply explore CR-CS</w:t>
      </w:r>
      <w:proofErr w:type="gramEnd"/>
      <w:r w:rsidR="00E15780">
        <w:rPr>
          <w:rFonts w:ascii="Times New Roman" w:hAnsi="Times New Roman" w:cs="Times New Roman"/>
          <w:color w:val="000000" w:themeColor="text1"/>
          <w:sz w:val="24"/>
          <w:szCs w:val="24"/>
        </w:rPr>
        <w:t xml:space="preserve"> as well as </w:t>
      </w:r>
      <w:r w:rsidR="005B4364">
        <w:rPr>
          <w:rFonts w:ascii="Times New Roman" w:hAnsi="Times New Roman" w:cs="Times New Roman"/>
          <w:color w:val="000000" w:themeColor="text1"/>
          <w:sz w:val="24"/>
          <w:szCs w:val="24"/>
        </w:rPr>
        <w:t xml:space="preserve">to </w:t>
      </w:r>
      <w:r w:rsidR="000274E2">
        <w:rPr>
          <w:rFonts w:ascii="Times New Roman" w:hAnsi="Times New Roman" w:cs="Times New Roman"/>
          <w:color w:val="000000" w:themeColor="text1"/>
          <w:sz w:val="24"/>
          <w:szCs w:val="24"/>
        </w:rPr>
        <w:t xml:space="preserve">more clearly </w:t>
      </w:r>
      <w:r w:rsidR="005B4364">
        <w:rPr>
          <w:rFonts w:ascii="Times New Roman" w:hAnsi="Times New Roman" w:cs="Times New Roman"/>
          <w:color w:val="000000" w:themeColor="text1"/>
          <w:sz w:val="24"/>
          <w:szCs w:val="24"/>
        </w:rPr>
        <w:t xml:space="preserve">establish </w:t>
      </w:r>
      <w:r w:rsidR="000274E2">
        <w:rPr>
          <w:rFonts w:ascii="Times New Roman" w:hAnsi="Times New Roman" w:cs="Times New Roman"/>
          <w:color w:val="000000" w:themeColor="text1"/>
          <w:sz w:val="24"/>
          <w:szCs w:val="24"/>
        </w:rPr>
        <w:t xml:space="preserve">the initiation of the </w:t>
      </w:r>
      <w:r w:rsidR="005B4364">
        <w:rPr>
          <w:rFonts w:ascii="Times New Roman" w:hAnsi="Times New Roman" w:cs="Times New Roman"/>
          <w:color w:val="000000" w:themeColor="text1"/>
          <w:sz w:val="24"/>
          <w:szCs w:val="24"/>
        </w:rPr>
        <w:t>rating change process</w:t>
      </w:r>
      <w:r w:rsidR="006475C8">
        <w:rPr>
          <w:rFonts w:ascii="Times New Roman" w:hAnsi="Times New Roman" w:cs="Times New Roman"/>
          <w:color w:val="000000" w:themeColor="text1"/>
          <w:sz w:val="24"/>
          <w:szCs w:val="24"/>
        </w:rPr>
        <w:t>.</w:t>
      </w:r>
      <w:r w:rsidR="00E9397A">
        <w:rPr>
          <w:rFonts w:ascii="Times New Roman" w:hAnsi="Times New Roman" w:cs="Times New Roman"/>
          <w:color w:val="000000" w:themeColor="text1"/>
          <w:sz w:val="24"/>
          <w:szCs w:val="24"/>
        </w:rPr>
        <w:t xml:space="preserve">  </w:t>
      </w:r>
      <w:r w:rsidR="00FC675C">
        <w:rPr>
          <w:rFonts w:ascii="Times New Roman" w:hAnsi="Times New Roman" w:cs="Times New Roman"/>
          <w:color w:val="000000" w:themeColor="text1"/>
          <w:sz w:val="24"/>
          <w:szCs w:val="24"/>
        </w:rPr>
        <w:t xml:space="preserve">Finally, </w:t>
      </w:r>
      <w:r w:rsidR="0090400C">
        <w:rPr>
          <w:rFonts w:ascii="Times New Roman" w:hAnsi="Times New Roman" w:cs="Times New Roman"/>
          <w:color w:val="000000" w:themeColor="text1"/>
          <w:sz w:val="24"/>
          <w:szCs w:val="24"/>
        </w:rPr>
        <w:t>rather than establishing that f</w:t>
      </w:r>
      <w:r w:rsidR="0048683B">
        <w:rPr>
          <w:rFonts w:ascii="Times New Roman" w:hAnsi="Times New Roman" w:cs="Times New Roman"/>
          <w:sz w:val="24"/>
          <w:szCs w:val="24"/>
        </w:rPr>
        <w:t>irms near (not near) broad rating changes are more (less) likely to experience broad rating changes the following year</w:t>
      </w:r>
      <w:r w:rsidR="0090400C">
        <w:rPr>
          <w:rFonts w:ascii="Times New Roman" w:hAnsi="Times New Roman" w:cs="Times New Roman"/>
          <w:sz w:val="24"/>
          <w:szCs w:val="24"/>
        </w:rPr>
        <w:t xml:space="preserve"> without regard to </w:t>
      </w:r>
      <w:r w:rsidR="00FA3A1E">
        <w:rPr>
          <w:rFonts w:ascii="Times New Roman" w:hAnsi="Times New Roman" w:cs="Times New Roman"/>
          <w:sz w:val="24"/>
          <w:szCs w:val="24"/>
        </w:rPr>
        <w:t>direction of these changes</w:t>
      </w:r>
      <w:r w:rsidR="0090400C">
        <w:rPr>
          <w:rFonts w:ascii="Times New Roman" w:hAnsi="Times New Roman" w:cs="Times New Roman"/>
          <w:sz w:val="24"/>
          <w:szCs w:val="24"/>
        </w:rPr>
        <w:t>, we look at how t</w:t>
      </w:r>
      <w:r w:rsidR="004B70D5">
        <w:rPr>
          <w:rFonts w:ascii="Times New Roman" w:hAnsi="Times New Roman" w:cs="Times New Roman"/>
          <w:sz w:val="24"/>
          <w:szCs w:val="24"/>
        </w:rPr>
        <w:t xml:space="preserve">he direction </w:t>
      </w:r>
      <w:r w:rsidR="005C2441">
        <w:rPr>
          <w:rFonts w:ascii="Times New Roman" w:hAnsi="Times New Roman" w:cs="Times New Roman"/>
          <w:sz w:val="24"/>
          <w:szCs w:val="24"/>
        </w:rPr>
        <w:t xml:space="preserve">and </w:t>
      </w:r>
      <w:r w:rsidR="004B70D5">
        <w:rPr>
          <w:rFonts w:ascii="Times New Roman" w:hAnsi="Times New Roman" w:cs="Times New Roman"/>
          <w:sz w:val="24"/>
          <w:szCs w:val="24"/>
        </w:rPr>
        <w:t>strength of these broad rating changes</w:t>
      </w:r>
      <w:r w:rsidR="00931327">
        <w:rPr>
          <w:rFonts w:ascii="Times New Roman" w:hAnsi="Times New Roman" w:cs="Times New Roman"/>
          <w:sz w:val="24"/>
          <w:szCs w:val="24"/>
        </w:rPr>
        <w:t xml:space="preserve"> serve to support </w:t>
      </w:r>
      <w:r w:rsidR="00FA3A1E">
        <w:rPr>
          <w:rFonts w:ascii="Times New Roman" w:hAnsi="Times New Roman" w:cs="Times New Roman"/>
          <w:sz w:val="24"/>
          <w:szCs w:val="24"/>
        </w:rPr>
        <w:t xml:space="preserve">(or refute) </w:t>
      </w:r>
      <w:r w:rsidR="00A53F17">
        <w:rPr>
          <w:rFonts w:ascii="Times New Roman" w:hAnsi="Times New Roman" w:cs="Times New Roman"/>
          <w:sz w:val="24"/>
          <w:szCs w:val="24"/>
        </w:rPr>
        <w:t>CR-CS</w:t>
      </w:r>
      <w:r w:rsidR="004B70D5">
        <w:rPr>
          <w:rFonts w:ascii="Times New Roman" w:hAnsi="Times New Roman" w:cs="Times New Roman"/>
          <w:sz w:val="24"/>
          <w:szCs w:val="24"/>
        </w:rPr>
        <w:t>.</w:t>
      </w:r>
      <w:r w:rsidR="003857F5">
        <w:rPr>
          <w:rFonts w:ascii="Times New Roman" w:hAnsi="Times New Roman" w:cs="Times New Roman"/>
          <w:sz w:val="24"/>
          <w:szCs w:val="24"/>
        </w:rPr>
        <w:t xml:space="preserve">  </w:t>
      </w:r>
    </w:p>
    <w:bookmarkEnd w:id="4"/>
    <w:bookmarkEnd w:id="5"/>
    <w:p w14:paraId="4E182E39" w14:textId="1B8BF9A6" w:rsidR="00C43175" w:rsidRDefault="00EB4AEE" w:rsidP="00755729">
      <w:pPr>
        <w:pStyle w:val="FootnoteText"/>
        <w:spacing w:line="360" w:lineRule="auto"/>
        <w:ind w:firstLine="360"/>
        <w:rPr>
          <w:rFonts w:ascii="Times New Roman" w:eastAsiaTheme="minorHAnsi" w:hAnsi="Times New Roman" w:cs="Times New Roman"/>
          <w:sz w:val="24"/>
          <w:szCs w:val="24"/>
        </w:rPr>
      </w:pPr>
      <w:r>
        <w:rPr>
          <w:rFonts w:ascii="Times New Roman" w:hAnsi="Times New Roman" w:cs="Times New Roman"/>
          <w:sz w:val="24"/>
          <w:szCs w:val="24"/>
        </w:rPr>
        <w:t xml:space="preserve">Using </w:t>
      </w:r>
      <w:r w:rsidR="004E5E0C">
        <w:rPr>
          <w:rFonts w:ascii="Times New Roman" w:hAnsi="Times New Roman" w:cs="Times New Roman"/>
          <w:sz w:val="24"/>
          <w:szCs w:val="24"/>
        </w:rPr>
        <w:t>q</w:t>
      </w:r>
      <w:r w:rsidR="00DB1DF8">
        <w:rPr>
          <w:rFonts w:ascii="Times New Roman" w:hAnsi="Times New Roman" w:cs="Times New Roman"/>
          <w:sz w:val="24"/>
          <w:szCs w:val="24"/>
        </w:rPr>
        <w:t xml:space="preserve">uarterly </w:t>
      </w:r>
      <w:r w:rsidR="0067067E">
        <w:rPr>
          <w:rFonts w:ascii="Times New Roman" w:hAnsi="Times New Roman" w:cs="Times New Roman"/>
          <w:sz w:val="24"/>
          <w:szCs w:val="24"/>
        </w:rPr>
        <w:t xml:space="preserve">data </w:t>
      </w:r>
      <w:r w:rsidR="00DB1DF8">
        <w:rPr>
          <w:rFonts w:ascii="Times New Roman" w:hAnsi="Times New Roman" w:cs="Times New Roman"/>
          <w:sz w:val="24"/>
          <w:szCs w:val="24"/>
        </w:rPr>
        <w:t xml:space="preserve">from 1986 through </w:t>
      </w:r>
      <w:r w:rsidR="005C2441">
        <w:rPr>
          <w:rFonts w:ascii="Times New Roman" w:hAnsi="Times New Roman" w:cs="Times New Roman"/>
          <w:sz w:val="24"/>
          <w:szCs w:val="24"/>
        </w:rPr>
        <w:t xml:space="preserve">to </w:t>
      </w:r>
      <w:r w:rsidR="00DB1DF8">
        <w:rPr>
          <w:rFonts w:ascii="Times New Roman" w:hAnsi="Times New Roman" w:cs="Times New Roman"/>
          <w:sz w:val="24"/>
          <w:szCs w:val="24"/>
        </w:rPr>
        <w:t>2017</w:t>
      </w:r>
      <w:r w:rsidR="004E5E0C">
        <w:rPr>
          <w:rFonts w:ascii="Times New Roman" w:hAnsi="Times New Roman" w:cs="Times New Roman"/>
          <w:sz w:val="24"/>
          <w:szCs w:val="24"/>
        </w:rPr>
        <w:t xml:space="preserve"> in focusing on </w:t>
      </w:r>
      <w:r w:rsidR="00DB1DF8">
        <w:rPr>
          <w:rFonts w:ascii="Times New Roman" w:hAnsi="Times New Roman" w:cs="Times New Roman"/>
          <w:sz w:val="24"/>
          <w:szCs w:val="24"/>
        </w:rPr>
        <w:t xml:space="preserve">capital structure adjustments </w:t>
      </w:r>
      <w:r w:rsidR="00866901">
        <w:rPr>
          <w:rFonts w:ascii="Times New Roman" w:hAnsi="Times New Roman" w:cs="Times New Roman"/>
          <w:sz w:val="24"/>
          <w:szCs w:val="24"/>
        </w:rPr>
        <w:t xml:space="preserve">of firms </w:t>
      </w:r>
      <w:r w:rsidR="00DB1DF8">
        <w:rPr>
          <w:rFonts w:ascii="Times New Roman" w:hAnsi="Times New Roman" w:cs="Times New Roman"/>
          <w:sz w:val="24"/>
          <w:szCs w:val="24"/>
        </w:rPr>
        <w:t xml:space="preserve">over the two years before (PRE) and after (POST) </w:t>
      </w:r>
      <w:r w:rsidR="00E41E51">
        <w:rPr>
          <w:rFonts w:ascii="Times New Roman" w:hAnsi="Times New Roman" w:cs="Times New Roman"/>
          <w:sz w:val="24"/>
          <w:szCs w:val="24"/>
        </w:rPr>
        <w:t xml:space="preserve">rating changes, we </w:t>
      </w:r>
      <w:r w:rsidR="00C35C40">
        <w:rPr>
          <w:rFonts w:ascii="Times New Roman" w:hAnsi="Times New Roman" w:cs="Times New Roman"/>
          <w:sz w:val="24"/>
          <w:szCs w:val="24"/>
        </w:rPr>
        <w:t xml:space="preserve">more directly </w:t>
      </w:r>
      <w:r w:rsidR="00647EEA">
        <w:rPr>
          <w:rFonts w:ascii="Times New Roman" w:hAnsi="Times New Roman" w:cs="Times New Roman"/>
          <w:sz w:val="24"/>
          <w:szCs w:val="24"/>
        </w:rPr>
        <w:t xml:space="preserve">test </w:t>
      </w:r>
      <w:r w:rsidR="00113A69">
        <w:rPr>
          <w:rFonts w:ascii="Times New Roman" w:hAnsi="Times New Roman" w:cs="Times New Roman"/>
          <w:sz w:val="24"/>
          <w:szCs w:val="24"/>
        </w:rPr>
        <w:t xml:space="preserve">the CR-CS </w:t>
      </w:r>
      <w:r w:rsidR="00B777B2">
        <w:rPr>
          <w:rFonts w:ascii="Times New Roman" w:hAnsi="Times New Roman" w:cs="Times New Roman"/>
          <w:sz w:val="24"/>
          <w:szCs w:val="24"/>
        </w:rPr>
        <w:t>hypothesis o</w:t>
      </w:r>
      <w:r w:rsidR="00647EEA">
        <w:rPr>
          <w:rFonts w:ascii="Times New Roman" w:hAnsi="Times New Roman" w:cs="Times New Roman"/>
          <w:sz w:val="24"/>
          <w:szCs w:val="24"/>
        </w:rPr>
        <w:t xml:space="preserve">f </w:t>
      </w:r>
      <w:r w:rsidR="00BC1775">
        <w:rPr>
          <w:rFonts w:ascii="Times New Roman" w:hAnsi="Times New Roman" w:cs="Times New Roman"/>
          <w:sz w:val="24"/>
          <w:szCs w:val="24"/>
        </w:rPr>
        <w:t xml:space="preserve">greater </w:t>
      </w:r>
      <w:r w:rsidR="00456084">
        <w:rPr>
          <w:rFonts w:ascii="Times New Roman" w:hAnsi="Times New Roman" w:cs="Times New Roman"/>
          <w:sz w:val="24"/>
          <w:szCs w:val="24"/>
        </w:rPr>
        <w:t>net debt reduction</w:t>
      </w:r>
      <w:r w:rsidR="00506FEA">
        <w:rPr>
          <w:rFonts w:ascii="Times New Roman" w:hAnsi="Times New Roman" w:cs="Times New Roman"/>
          <w:sz w:val="24"/>
          <w:szCs w:val="24"/>
        </w:rPr>
        <w:t>s</w:t>
      </w:r>
      <w:r w:rsidR="00456084">
        <w:rPr>
          <w:rFonts w:ascii="Times New Roman" w:hAnsi="Times New Roman" w:cs="Times New Roman"/>
          <w:sz w:val="24"/>
          <w:szCs w:val="24"/>
        </w:rPr>
        <w:t xml:space="preserve"> </w:t>
      </w:r>
      <w:r w:rsidR="007F38AA">
        <w:rPr>
          <w:rFonts w:ascii="Times New Roman" w:hAnsi="Times New Roman" w:cs="Times New Roman"/>
          <w:sz w:val="24"/>
          <w:szCs w:val="24"/>
        </w:rPr>
        <w:t xml:space="preserve">by </w:t>
      </w:r>
      <w:r w:rsidR="002134A3">
        <w:rPr>
          <w:rFonts w:ascii="Times New Roman" w:hAnsi="Times New Roman" w:cs="Times New Roman"/>
          <w:sz w:val="24"/>
          <w:szCs w:val="24"/>
        </w:rPr>
        <w:t>notch</w:t>
      </w:r>
      <w:r w:rsidR="00123F68">
        <w:rPr>
          <w:rFonts w:ascii="Times New Roman" w:hAnsi="Times New Roman" w:cs="Times New Roman"/>
          <w:sz w:val="24"/>
          <w:szCs w:val="24"/>
        </w:rPr>
        <w:t xml:space="preserve"> </w:t>
      </w:r>
      <w:r w:rsidR="002134A3">
        <w:rPr>
          <w:rFonts w:ascii="Times New Roman" w:hAnsi="Times New Roman" w:cs="Times New Roman"/>
          <w:sz w:val="24"/>
          <w:szCs w:val="24"/>
        </w:rPr>
        <w:t xml:space="preserve">firms </w:t>
      </w:r>
      <w:r w:rsidR="00BB09A0">
        <w:rPr>
          <w:rFonts w:ascii="Times New Roman" w:hAnsi="Times New Roman" w:cs="Times New Roman"/>
          <w:sz w:val="24"/>
          <w:szCs w:val="24"/>
        </w:rPr>
        <w:t>(having “+” or “</w:t>
      </w:r>
      <w:proofErr w:type="gramStart"/>
      <w:r w:rsidR="00BB09A0">
        <w:rPr>
          <w:rFonts w:ascii="Times New Roman" w:hAnsi="Times New Roman" w:cs="Times New Roman"/>
          <w:sz w:val="24"/>
          <w:szCs w:val="24"/>
        </w:rPr>
        <w:t>-“ ratings</w:t>
      </w:r>
      <w:proofErr w:type="gramEnd"/>
      <w:r w:rsidR="00BB09A0">
        <w:rPr>
          <w:rFonts w:ascii="Times New Roman" w:hAnsi="Times New Roman" w:cs="Times New Roman"/>
          <w:sz w:val="24"/>
          <w:szCs w:val="24"/>
        </w:rPr>
        <w:t xml:space="preserve">) </w:t>
      </w:r>
      <w:r w:rsidR="002134A3">
        <w:rPr>
          <w:rFonts w:ascii="Times New Roman" w:hAnsi="Times New Roman" w:cs="Times New Roman"/>
          <w:sz w:val="24"/>
          <w:szCs w:val="24"/>
        </w:rPr>
        <w:t>l</w:t>
      </w:r>
      <w:r w:rsidR="00506FEA">
        <w:rPr>
          <w:rFonts w:ascii="Times New Roman" w:hAnsi="Times New Roman" w:cs="Times New Roman"/>
          <w:sz w:val="24"/>
          <w:szCs w:val="24"/>
        </w:rPr>
        <w:t xml:space="preserve">eading </w:t>
      </w:r>
      <w:r w:rsidR="00727814">
        <w:rPr>
          <w:rFonts w:ascii="Times New Roman" w:hAnsi="Times New Roman" w:cs="Times New Roman"/>
          <w:sz w:val="24"/>
          <w:szCs w:val="24"/>
        </w:rPr>
        <w:t xml:space="preserve">to </w:t>
      </w:r>
      <w:r w:rsidR="00912873">
        <w:rPr>
          <w:rFonts w:ascii="Times New Roman" w:hAnsi="Times New Roman" w:cs="Times New Roman"/>
          <w:sz w:val="24"/>
          <w:szCs w:val="24"/>
        </w:rPr>
        <w:t xml:space="preserve">relatively more </w:t>
      </w:r>
      <w:r w:rsidR="00C47B67">
        <w:rPr>
          <w:rFonts w:ascii="Times New Roman" w:hAnsi="Times New Roman" w:cs="Times New Roman"/>
          <w:sz w:val="24"/>
          <w:szCs w:val="24"/>
        </w:rPr>
        <w:t xml:space="preserve">beneficial </w:t>
      </w:r>
      <w:r w:rsidR="00456084">
        <w:rPr>
          <w:rFonts w:ascii="Times New Roman" w:hAnsi="Times New Roman" w:cs="Times New Roman"/>
          <w:sz w:val="24"/>
          <w:szCs w:val="24"/>
        </w:rPr>
        <w:t>rating change</w:t>
      </w:r>
      <w:r w:rsidR="00C47B67">
        <w:rPr>
          <w:rFonts w:ascii="Times New Roman" w:hAnsi="Times New Roman" w:cs="Times New Roman"/>
          <w:sz w:val="24"/>
          <w:szCs w:val="24"/>
        </w:rPr>
        <w:t>s</w:t>
      </w:r>
      <w:r w:rsidR="00456084">
        <w:rPr>
          <w:rFonts w:ascii="Times New Roman" w:hAnsi="Times New Roman" w:cs="Times New Roman"/>
          <w:sz w:val="24"/>
          <w:szCs w:val="24"/>
        </w:rPr>
        <w:t xml:space="preserve">. </w:t>
      </w:r>
      <w:r w:rsidR="00EA0876">
        <w:rPr>
          <w:rFonts w:ascii="Times New Roman" w:hAnsi="Times New Roman" w:cs="Times New Roman"/>
          <w:sz w:val="24"/>
          <w:szCs w:val="24"/>
        </w:rPr>
        <w:t xml:space="preserve"> </w:t>
      </w:r>
      <w:r w:rsidR="006170F7">
        <w:rPr>
          <w:rFonts w:ascii="Times New Roman" w:eastAsiaTheme="minorHAnsi" w:hAnsi="Times New Roman" w:cs="Times New Roman"/>
          <w:sz w:val="24"/>
          <w:szCs w:val="24"/>
        </w:rPr>
        <w:t xml:space="preserve">We argue that use of quarterly data allows for a clearer view of debt structure adjustments by management in anticipation of and reaction to </w:t>
      </w:r>
      <w:r w:rsidR="006170F7">
        <w:rPr>
          <w:rFonts w:ascii="Times New Roman" w:eastAsiaTheme="minorHAnsi" w:hAnsi="Times New Roman" w:cs="Times New Roman"/>
          <w:sz w:val="24"/>
          <w:szCs w:val="24"/>
        </w:rPr>
        <w:lastRenderedPageBreak/>
        <w:t xml:space="preserve">the direction and strength of the rating change. </w:t>
      </w:r>
      <w:r w:rsidR="00755729">
        <w:rPr>
          <w:rFonts w:ascii="Times New Roman" w:eastAsiaTheme="minorHAnsi" w:hAnsi="Times New Roman" w:cs="Times New Roman"/>
          <w:sz w:val="24"/>
          <w:szCs w:val="24"/>
        </w:rPr>
        <w:t xml:space="preserve"> </w:t>
      </w:r>
      <w:r w:rsidR="00BC1775">
        <w:rPr>
          <w:rFonts w:ascii="Times New Roman" w:eastAsiaTheme="minorHAnsi" w:hAnsi="Times New Roman" w:cs="Times New Roman"/>
          <w:sz w:val="24"/>
          <w:szCs w:val="24"/>
        </w:rPr>
        <w:t xml:space="preserve">In our analysis of rating changes, </w:t>
      </w:r>
      <w:r w:rsidR="008F6907">
        <w:rPr>
          <w:rFonts w:ascii="Times New Roman" w:eastAsiaTheme="minorHAnsi" w:hAnsi="Times New Roman" w:cs="Times New Roman"/>
          <w:sz w:val="24"/>
          <w:szCs w:val="24"/>
        </w:rPr>
        <w:t xml:space="preserve">capital structure adjustments both before and after the rating change process, and linear models accounting for the direction and strength of rating change, our results overall do not support </w:t>
      </w:r>
      <w:r w:rsidR="00755729">
        <w:rPr>
          <w:rFonts w:ascii="Times New Roman" w:eastAsiaTheme="minorHAnsi" w:hAnsi="Times New Roman" w:cs="Times New Roman"/>
          <w:sz w:val="24"/>
          <w:szCs w:val="24"/>
        </w:rPr>
        <w:t xml:space="preserve">CR-CS.  </w:t>
      </w:r>
    </w:p>
    <w:p w14:paraId="6DF84330" w14:textId="67D714D3" w:rsidR="00425EB5" w:rsidRDefault="00755729" w:rsidP="00755729">
      <w:pPr>
        <w:pStyle w:val="FootnoteText"/>
        <w:spacing w:line="360" w:lineRule="auto"/>
        <w:ind w:firstLine="360"/>
        <w:rPr>
          <w:rFonts w:ascii="Times New Roman" w:hAnsi="Times New Roman" w:cs="Times New Roman"/>
          <w:color w:val="000000" w:themeColor="text1"/>
          <w:sz w:val="24"/>
          <w:szCs w:val="24"/>
        </w:rPr>
      </w:pPr>
      <w:r>
        <w:rPr>
          <w:rFonts w:ascii="Times New Roman" w:eastAsiaTheme="minorHAnsi" w:hAnsi="Times New Roman" w:cs="Times New Roman"/>
          <w:sz w:val="24"/>
          <w:szCs w:val="24"/>
        </w:rPr>
        <w:t xml:space="preserve">For example, </w:t>
      </w:r>
      <w:r w:rsidR="00701280">
        <w:rPr>
          <w:rFonts w:ascii="Times New Roman" w:hAnsi="Times New Roman" w:cs="Times New Roman"/>
          <w:color w:val="000000" w:themeColor="text1"/>
          <w:sz w:val="24"/>
          <w:szCs w:val="24"/>
        </w:rPr>
        <w:t>w</w:t>
      </w:r>
      <w:r w:rsidR="005D128A" w:rsidRPr="0087280C">
        <w:rPr>
          <w:rFonts w:ascii="Times New Roman" w:hAnsi="Times New Roman" w:cs="Times New Roman"/>
          <w:color w:val="000000" w:themeColor="text1"/>
          <w:sz w:val="24"/>
          <w:szCs w:val="24"/>
        </w:rPr>
        <w:t xml:space="preserve">hen </w:t>
      </w:r>
      <w:r>
        <w:rPr>
          <w:rFonts w:ascii="Times New Roman" w:hAnsi="Times New Roman" w:cs="Times New Roman"/>
          <w:color w:val="000000" w:themeColor="text1"/>
          <w:sz w:val="24"/>
          <w:szCs w:val="24"/>
        </w:rPr>
        <w:t xml:space="preserve">first </w:t>
      </w:r>
      <w:r w:rsidR="00B7642C" w:rsidRPr="0087280C">
        <w:rPr>
          <w:rFonts w:ascii="Times New Roman" w:hAnsi="Times New Roman" w:cs="Times New Roman"/>
          <w:color w:val="000000" w:themeColor="text1"/>
          <w:sz w:val="24"/>
          <w:szCs w:val="24"/>
        </w:rPr>
        <w:t>focusing on upgrade (UP) and downgrade (</w:t>
      </w:r>
      <w:r w:rsidR="002F16D3" w:rsidRPr="0087280C">
        <w:rPr>
          <w:rFonts w:ascii="Times New Roman" w:hAnsi="Times New Roman" w:cs="Times New Roman"/>
          <w:color w:val="000000" w:themeColor="text1"/>
          <w:sz w:val="24"/>
          <w:szCs w:val="24"/>
        </w:rPr>
        <w:t>DOWN</w:t>
      </w:r>
      <w:r w:rsidR="00B7642C" w:rsidRPr="0087280C">
        <w:rPr>
          <w:rFonts w:ascii="Times New Roman" w:hAnsi="Times New Roman" w:cs="Times New Roman"/>
          <w:color w:val="000000" w:themeColor="text1"/>
          <w:sz w:val="24"/>
          <w:szCs w:val="24"/>
        </w:rPr>
        <w:t xml:space="preserve">) </w:t>
      </w:r>
      <w:r w:rsidR="002F16D3" w:rsidRPr="0087280C">
        <w:rPr>
          <w:rFonts w:ascii="Times New Roman" w:hAnsi="Times New Roman" w:cs="Times New Roman"/>
          <w:color w:val="000000" w:themeColor="text1"/>
          <w:sz w:val="24"/>
          <w:szCs w:val="24"/>
        </w:rPr>
        <w:t xml:space="preserve">decisions </w:t>
      </w:r>
      <w:r w:rsidR="00B7642C" w:rsidRPr="0087280C">
        <w:rPr>
          <w:rFonts w:ascii="Times New Roman" w:hAnsi="Times New Roman" w:cs="Times New Roman"/>
          <w:color w:val="000000" w:themeColor="text1"/>
          <w:sz w:val="24"/>
          <w:szCs w:val="24"/>
        </w:rPr>
        <w:t xml:space="preserve">by S&amp;P without consideration of debt structure </w:t>
      </w:r>
      <w:r w:rsidR="00B7642C">
        <w:rPr>
          <w:rFonts w:ascii="Times New Roman" w:hAnsi="Times New Roman" w:cs="Times New Roman"/>
          <w:sz w:val="24"/>
          <w:szCs w:val="24"/>
        </w:rPr>
        <w:t xml:space="preserve">changes, </w:t>
      </w:r>
      <w:r>
        <w:rPr>
          <w:rFonts w:ascii="Times New Roman" w:hAnsi="Times New Roman" w:cs="Times New Roman"/>
          <w:sz w:val="24"/>
          <w:szCs w:val="24"/>
        </w:rPr>
        <w:t xml:space="preserve">we show that </w:t>
      </w:r>
      <w:r w:rsidR="00E1223D">
        <w:rPr>
          <w:rFonts w:ascii="Times New Roman" w:hAnsi="Times New Roman" w:cs="Times New Roman"/>
          <w:color w:val="000000" w:themeColor="text1"/>
          <w:sz w:val="24"/>
          <w:szCs w:val="24"/>
        </w:rPr>
        <w:t xml:space="preserve">notch firms do not </w:t>
      </w:r>
      <w:r w:rsidR="003A09A0">
        <w:rPr>
          <w:rFonts w:ascii="Times New Roman" w:hAnsi="Times New Roman" w:cs="Times New Roman"/>
          <w:color w:val="000000" w:themeColor="text1"/>
          <w:sz w:val="24"/>
          <w:szCs w:val="24"/>
        </w:rPr>
        <w:t xml:space="preserve">generally </w:t>
      </w:r>
      <w:r w:rsidR="00E1223D">
        <w:rPr>
          <w:rFonts w:ascii="Times New Roman" w:hAnsi="Times New Roman" w:cs="Times New Roman"/>
          <w:color w:val="000000" w:themeColor="text1"/>
          <w:sz w:val="24"/>
          <w:szCs w:val="24"/>
        </w:rPr>
        <w:t xml:space="preserve">exhibit significantly higher </w:t>
      </w:r>
      <w:r w:rsidR="00DB7EA4">
        <w:rPr>
          <w:rFonts w:ascii="Times New Roman" w:hAnsi="Times New Roman" w:cs="Times New Roman"/>
          <w:color w:val="000000" w:themeColor="text1"/>
          <w:sz w:val="24"/>
          <w:szCs w:val="24"/>
        </w:rPr>
        <w:t xml:space="preserve">UP/DOWN ratios </w:t>
      </w:r>
      <w:r w:rsidR="00E1223D">
        <w:rPr>
          <w:rFonts w:ascii="Times New Roman" w:hAnsi="Times New Roman" w:cs="Times New Roman"/>
          <w:color w:val="000000" w:themeColor="text1"/>
          <w:sz w:val="24"/>
          <w:szCs w:val="24"/>
        </w:rPr>
        <w:t>than non-</w:t>
      </w:r>
      <w:r w:rsidR="00DB7EA4">
        <w:rPr>
          <w:rFonts w:ascii="Times New Roman" w:hAnsi="Times New Roman" w:cs="Times New Roman"/>
          <w:color w:val="000000" w:themeColor="text1"/>
          <w:sz w:val="24"/>
          <w:szCs w:val="24"/>
        </w:rPr>
        <w:t xml:space="preserve">notch firms </w:t>
      </w:r>
      <w:r w:rsidR="00456EE7">
        <w:rPr>
          <w:rFonts w:ascii="Times New Roman" w:hAnsi="Times New Roman" w:cs="Times New Roman"/>
          <w:color w:val="000000" w:themeColor="text1"/>
          <w:sz w:val="24"/>
          <w:szCs w:val="24"/>
        </w:rPr>
        <w:t xml:space="preserve">regardless of whether </w:t>
      </w:r>
      <w:r w:rsidR="003A09A0">
        <w:rPr>
          <w:rFonts w:ascii="Times New Roman" w:hAnsi="Times New Roman" w:cs="Times New Roman"/>
          <w:color w:val="000000" w:themeColor="text1"/>
          <w:sz w:val="24"/>
          <w:szCs w:val="24"/>
        </w:rPr>
        <w:t>C</w:t>
      </w:r>
      <w:r w:rsidR="00B31079">
        <w:rPr>
          <w:rFonts w:ascii="Times New Roman" w:hAnsi="Times New Roman" w:cs="Times New Roman"/>
          <w:color w:val="000000" w:themeColor="text1"/>
          <w:sz w:val="24"/>
          <w:szCs w:val="24"/>
        </w:rPr>
        <w:t xml:space="preserve">W </w:t>
      </w:r>
      <w:r w:rsidR="00456EE7">
        <w:rPr>
          <w:rFonts w:ascii="Times New Roman" w:hAnsi="Times New Roman" w:cs="Times New Roman"/>
          <w:color w:val="000000" w:themeColor="text1"/>
          <w:sz w:val="24"/>
          <w:szCs w:val="24"/>
        </w:rPr>
        <w:t xml:space="preserve">announcements are </w:t>
      </w:r>
      <w:r w:rsidR="003A09A0">
        <w:rPr>
          <w:rFonts w:ascii="Times New Roman" w:hAnsi="Times New Roman" w:cs="Times New Roman"/>
          <w:color w:val="000000" w:themeColor="text1"/>
          <w:sz w:val="24"/>
          <w:szCs w:val="24"/>
        </w:rPr>
        <w:t>made or not</w:t>
      </w:r>
      <w:r w:rsidR="00DB7EA4">
        <w:rPr>
          <w:rFonts w:ascii="Times New Roman" w:hAnsi="Times New Roman" w:cs="Times New Roman"/>
          <w:color w:val="000000" w:themeColor="text1"/>
          <w:sz w:val="24"/>
          <w:szCs w:val="24"/>
        </w:rPr>
        <w:t xml:space="preserve">.  </w:t>
      </w:r>
      <w:r w:rsidR="00F222EB">
        <w:rPr>
          <w:rFonts w:ascii="Times New Roman" w:hAnsi="Times New Roman" w:cs="Times New Roman"/>
          <w:color w:val="000000" w:themeColor="text1"/>
          <w:sz w:val="24"/>
          <w:szCs w:val="24"/>
        </w:rPr>
        <w:t>Further, f</w:t>
      </w:r>
      <w:r w:rsidR="00D76907">
        <w:rPr>
          <w:rFonts w:ascii="Times New Roman" w:hAnsi="Times New Roman" w:cs="Times New Roman"/>
          <w:color w:val="000000" w:themeColor="text1"/>
          <w:sz w:val="24"/>
          <w:szCs w:val="24"/>
        </w:rPr>
        <w:t>irms without CW announcements exhibit stronger relative upgrade activity than firms without CW announcements, on average, suggesting that the S&amp;P rating process is more focused on identifying firms with deteriorated rather than improved credit conditions</w:t>
      </w:r>
      <w:r w:rsidR="00B15B61">
        <w:rPr>
          <w:rFonts w:ascii="Times New Roman" w:hAnsi="Times New Roman" w:cs="Times New Roman"/>
          <w:color w:val="000000" w:themeColor="text1"/>
          <w:sz w:val="24"/>
          <w:szCs w:val="24"/>
        </w:rPr>
        <w:t xml:space="preserve">.  </w:t>
      </w:r>
      <w:r w:rsidR="00D76907">
        <w:rPr>
          <w:rFonts w:ascii="Times New Roman" w:hAnsi="Times New Roman" w:cs="Times New Roman"/>
          <w:color w:val="000000" w:themeColor="text1"/>
          <w:sz w:val="24"/>
          <w:szCs w:val="24"/>
        </w:rPr>
        <w:t xml:space="preserve">This conclusion is supported also by evidence </w:t>
      </w:r>
      <w:r w:rsidR="00346BD5">
        <w:rPr>
          <w:rFonts w:ascii="Times New Roman" w:hAnsi="Times New Roman" w:cs="Times New Roman"/>
          <w:color w:val="000000" w:themeColor="text1"/>
          <w:sz w:val="24"/>
          <w:szCs w:val="24"/>
        </w:rPr>
        <w:t xml:space="preserve">indicating </w:t>
      </w:r>
      <w:r w:rsidR="00D76907">
        <w:rPr>
          <w:rFonts w:ascii="Times New Roman" w:hAnsi="Times New Roman" w:cs="Times New Roman"/>
          <w:color w:val="000000" w:themeColor="text1"/>
          <w:sz w:val="24"/>
          <w:szCs w:val="24"/>
        </w:rPr>
        <w:t>that while d</w:t>
      </w:r>
      <w:r w:rsidR="00D76907" w:rsidRPr="009F0057">
        <w:rPr>
          <w:rFonts w:ascii="Times New Roman" w:hAnsi="Times New Roman" w:cs="Times New Roman"/>
          <w:color w:val="000000" w:themeColor="text1"/>
          <w:sz w:val="24"/>
          <w:szCs w:val="24"/>
        </w:rPr>
        <w:t xml:space="preserve">owngrades </w:t>
      </w:r>
      <w:r w:rsidR="00D76907">
        <w:rPr>
          <w:rFonts w:ascii="Times New Roman" w:hAnsi="Times New Roman" w:cs="Times New Roman"/>
          <w:color w:val="000000" w:themeColor="text1"/>
          <w:sz w:val="24"/>
          <w:szCs w:val="24"/>
        </w:rPr>
        <w:t>e</w:t>
      </w:r>
      <w:r w:rsidR="00D76907" w:rsidRPr="009F0057">
        <w:rPr>
          <w:rFonts w:ascii="Times New Roman" w:hAnsi="Times New Roman" w:cs="Times New Roman"/>
          <w:color w:val="000000" w:themeColor="text1"/>
          <w:sz w:val="24"/>
          <w:szCs w:val="24"/>
        </w:rPr>
        <w:t xml:space="preserve">xceed upgrades across all rating categories for firms with </w:t>
      </w:r>
      <w:r w:rsidR="00D76907">
        <w:rPr>
          <w:rFonts w:ascii="Times New Roman" w:hAnsi="Times New Roman" w:cs="Times New Roman"/>
          <w:color w:val="000000" w:themeColor="text1"/>
          <w:sz w:val="24"/>
          <w:szCs w:val="24"/>
        </w:rPr>
        <w:t>C</w:t>
      </w:r>
      <w:r w:rsidR="00D76907" w:rsidRPr="009F0057">
        <w:rPr>
          <w:rFonts w:ascii="Times New Roman" w:hAnsi="Times New Roman" w:cs="Times New Roman"/>
          <w:color w:val="000000" w:themeColor="text1"/>
          <w:sz w:val="24"/>
          <w:szCs w:val="24"/>
        </w:rPr>
        <w:t>W</w:t>
      </w:r>
      <w:r w:rsidR="00D76907">
        <w:rPr>
          <w:rFonts w:ascii="Times New Roman" w:hAnsi="Times New Roman" w:cs="Times New Roman"/>
          <w:color w:val="000000" w:themeColor="text1"/>
          <w:sz w:val="24"/>
          <w:szCs w:val="24"/>
        </w:rPr>
        <w:t xml:space="preserve"> </w:t>
      </w:r>
      <w:r w:rsidR="00D76907" w:rsidRPr="009F0057">
        <w:rPr>
          <w:rFonts w:ascii="Times New Roman" w:hAnsi="Times New Roman" w:cs="Times New Roman"/>
          <w:color w:val="000000" w:themeColor="text1"/>
          <w:sz w:val="24"/>
          <w:szCs w:val="24"/>
        </w:rPr>
        <w:t>announcements, upgrades exceed downgrades in rating categories of BBB, BBB-, BB+, BB, and BB- for firms without CW announcements</w:t>
      </w:r>
      <w:r w:rsidR="00D76907">
        <w:rPr>
          <w:rFonts w:ascii="Times New Roman" w:hAnsi="Times New Roman" w:cs="Times New Roman"/>
          <w:color w:val="000000" w:themeColor="text1"/>
          <w:sz w:val="24"/>
          <w:szCs w:val="24"/>
        </w:rPr>
        <w:t xml:space="preserve">.  </w:t>
      </w:r>
      <w:r w:rsidR="00050D1A">
        <w:rPr>
          <w:rFonts w:ascii="Times New Roman" w:hAnsi="Times New Roman" w:cs="Times New Roman"/>
          <w:color w:val="000000" w:themeColor="text1"/>
          <w:sz w:val="24"/>
          <w:szCs w:val="24"/>
        </w:rPr>
        <w:t>Th</w:t>
      </w:r>
      <w:r w:rsidR="00595051">
        <w:rPr>
          <w:rFonts w:ascii="Times New Roman" w:hAnsi="Times New Roman" w:cs="Times New Roman"/>
          <w:color w:val="000000" w:themeColor="text1"/>
          <w:sz w:val="24"/>
          <w:szCs w:val="24"/>
        </w:rPr>
        <w:t xml:space="preserve">us, </w:t>
      </w:r>
      <w:r w:rsidR="00181067">
        <w:rPr>
          <w:rFonts w:ascii="Times New Roman" w:hAnsi="Times New Roman" w:cs="Times New Roman"/>
          <w:color w:val="000000" w:themeColor="text1"/>
          <w:sz w:val="24"/>
          <w:szCs w:val="24"/>
        </w:rPr>
        <w:t xml:space="preserve">the strength of UP/DOWN </w:t>
      </w:r>
      <w:r w:rsidR="007717B8">
        <w:rPr>
          <w:rFonts w:ascii="Times New Roman" w:hAnsi="Times New Roman" w:cs="Times New Roman"/>
          <w:color w:val="000000" w:themeColor="text1"/>
          <w:sz w:val="24"/>
          <w:szCs w:val="24"/>
        </w:rPr>
        <w:t xml:space="preserve">appears to be </w:t>
      </w:r>
      <w:r w:rsidR="00346BD5">
        <w:rPr>
          <w:rFonts w:ascii="Times New Roman" w:hAnsi="Times New Roman" w:cs="Times New Roman"/>
          <w:color w:val="000000" w:themeColor="text1"/>
          <w:sz w:val="24"/>
          <w:szCs w:val="24"/>
        </w:rPr>
        <w:t xml:space="preserve">more </w:t>
      </w:r>
      <w:r w:rsidR="00054560">
        <w:rPr>
          <w:rFonts w:ascii="Times New Roman" w:hAnsi="Times New Roman" w:cs="Times New Roman"/>
          <w:color w:val="000000" w:themeColor="text1"/>
          <w:sz w:val="24"/>
          <w:szCs w:val="24"/>
        </w:rPr>
        <w:t xml:space="preserve">a function of the presence or absence of CW announcement </w:t>
      </w:r>
      <w:r w:rsidR="00346BD5">
        <w:rPr>
          <w:rFonts w:ascii="Times New Roman" w:hAnsi="Times New Roman" w:cs="Times New Roman"/>
          <w:color w:val="000000" w:themeColor="text1"/>
          <w:sz w:val="24"/>
          <w:szCs w:val="24"/>
        </w:rPr>
        <w:t xml:space="preserve">than </w:t>
      </w:r>
      <w:r w:rsidR="00054560">
        <w:rPr>
          <w:rFonts w:ascii="Times New Roman" w:hAnsi="Times New Roman" w:cs="Times New Roman"/>
          <w:color w:val="000000" w:themeColor="text1"/>
          <w:sz w:val="24"/>
          <w:szCs w:val="24"/>
        </w:rPr>
        <w:t>notch status</w:t>
      </w:r>
      <w:r w:rsidR="00942C5D">
        <w:rPr>
          <w:rFonts w:ascii="Times New Roman" w:hAnsi="Times New Roman" w:cs="Times New Roman"/>
          <w:color w:val="000000" w:themeColor="text1"/>
          <w:sz w:val="24"/>
          <w:szCs w:val="24"/>
        </w:rPr>
        <w:t xml:space="preserve">, suggesting that </w:t>
      </w:r>
      <w:r w:rsidR="0098024E">
        <w:rPr>
          <w:rFonts w:ascii="Times New Roman" w:hAnsi="Times New Roman" w:cs="Times New Roman"/>
          <w:color w:val="000000" w:themeColor="text1"/>
          <w:sz w:val="24"/>
          <w:szCs w:val="24"/>
        </w:rPr>
        <w:t xml:space="preserve">CR-CS is more thoroughly examined through </w:t>
      </w:r>
      <w:r w:rsidR="00EF467D">
        <w:rPr>
          <w:rFonts w:ascii="Times New Roman" w:hAnsi="Times New Roman" w:cs="Times New Roman"/>
          <w:color w:val="000000" w:themeColor="text1"/>
          <w:sz w:val="24"/>
          <w:szCs w:val="24"/>
        </w:rPr>
        <w:t>the in</w:t>
      </w:r>
      <w:r w:rsidR="00942C5D">
        <w:rPr>
          <w:rFonts w:ascii="Times New Roman" w:hAnsi="Times New Roman" w:cs="Times New Roman"/>
          <w:color w:val="000000" w:themeColor="text1"/>
          <w:sz w:val="24"/>
          <w:szCs w:val="24"/>
        </w:rPr>
        <w:t xml:space="preserve">clusion </w:t>
      </w:r>
      <w:r w:rsidR="0098024E">
        <w:rPr>
          <w:rFonts w:ascii="Times New Roman" w:hAnsi="Times New Roman" w:cs="Times New Roman"/>
          <w:color w:val="000000" w:themeColor="text1"/>
          <w:sz w:val="24"/>
          <w:szCs w:val="24"/>
        </w:rPr>
        <w:t xml:space="preserve">rather than exclusion </w:t>
      </w:r>
      <w:r w:rsidR="00942C5D">
        <w:rPr>
          <w:rFonts w:ascii="Times New Roman" w:hAnsi="Times New Roman" w:cs="Times New Roman"/>
          <w:color w:val="000000" w:themeColor="text1"/>
          <w:sz w:val="24"/>
          <w:szCs w:val="24"/>
        </w:rPr>
        <w:t>of CW placement data.</w:t>
      </w:r>
    </w:p>
    <w:p w14:paraId="1B4F6FD8" w14:textId="098680F4" w:rsidR="00B1765F" w:rsidRDefault="00300080" w:rsidP="00227341">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Focusing on the direction of rating change</w:t>
      </w:r>
      <w:r w:rsidR="00CA301D">
        <w:rPr>
          <w:rFonts w:ascii="Times New Roman" w:hAnsi="Times New Roman" w:cs="Times New Roman"/>
          <w:sz w:val="24"/>
          <w:szCs w:val="24"/>
        </w:rPr>
        <w:t xml:space="preserve"> for firms without and with CW placements</w:t>
      </w:r>
      <w:r>
        <w:rPr>
          <w:rFonts w:ascii="Times New Roman" w:hAnsi="Times New Roman" w:cs="Times New Roman"/>
          <w:sz w:val="24"/>
          <w:szCs w:val="24"/>
        </w:rPr>
        <w:t>, we</w:t>
      </w:r>
      <w:r w:rsidR="00EA6B5B">
        <w:rPr>
          <w:rFonts w:ascii="Times New Roman" w:hAnsi="Times New Roman" w:cs="Times New Roman"/>
          <w:sz w:val="24"/>
          <w:szCs w:val="24"/>
        </w:rPr>
        <w:t xml:space="preserve"> find no evidence of </w:t>
      </w:r>
      <w:r w:rsidR="00FF1EA0">
        <w:rPr>
          <w:rFonts w:ascii="Times New Roman" w:hAnsi="Times New Roman" w:cs="Times New Roman"/>
          <w:sz w:val="24"/>
          <w:szCs w:val="24"/>
        </w:rPr>
        <w:t xml:space="preserve">net debt </w:t>
      </w:r>
      <w:r w:rsidR="00EA6B5B">
        <w:rPr>
          <w:rFonts w:ascii="Times New Roman" w:hAnsi="Times New Roman" w:cs="Times New Roman"/>
          <w:sz w:val="24"/>
          <w:szCs w:val="24"/>
        </w:rPr>
        <w:t xml:space="preserve">reductions </w:t>
      </w:r>
      <w:r w:rsidR="00AD5557">
        <w:rPr>
          <w:rFonts w:ascii="Times New Roman" w:hAnsi="Times New Roman" w:cs="Times New Roman"/>
          <w:sz w:val="24"/>
          <w:szCs w:val="24"/>
        </w:rPr>
        <w:t xml:space="preserve">prior to upgrades for either notch or non-notch rating categories.  </w:t>
      </w:r>
      <w:r w:rsidR="00F24873">
        <w:rPr>
          <w:rFonts w:ascii="Times New Roman" w:hAnsi="Times New Roman" w:cs="Times New Roman"/>
          <w:sz w:val="24"/>
          <w:szCs w:val="24"/>
        </w:rPr>
        <w:t xml:space="preserve">Prior to </w:t>
      </w:r>
      <w:r w:rsidR="009542D5">
        <w:rPr>
          <w:rFonts w:ascii="Times New Roman" w:hAnsi="Times New Roman" w:cs="Times New Roman"/>
          <w:sz w:val="24"/>
          <w:szCs w:val="24"/>
        </w:rPr>
        <w:t xml:space="preserve">downgrades, </w:t>
      </w:r>
      <w:r w:rsidR="00EA6B5B">
        <w:rPr>
          <w:rFonts w:ascii="Times New Roman" w:hAnsi="Times New Roman" w:cs="Times New Roman"/>
          <w:sz w:val="24"/>
          <w:szCs w:val="24"/>
        </w:rPr>
        <w:t xml:space="preserve">though, </w:t>
      </w:r>
      <w:r w:rsidR="00E97CA3">
        <w:rPr>
          <w:rFonts w:ascii="Times New Roman" w:hAnsi="Times New Roman" w:cs="Times New Roman"/>
          <w:sz w:val="24"/>
          <w:szCs w:val="24"/>
        </w:rPr>
        <w:t xml:space="preserve">there is </w:t>
      </w:r>
      <w:r w:rsidR="00EA6B5B">
        <w:rPr>
          <w:rFonts w:ascii="Times New Roman" w:hAnsi="Times New Roman" w:cs="Times New Roman"/>
          <w:sz w:val="24"/>
          <w:szCs w:val="24"/>
        </w:rPr>
        <w:t xml:space="preserve">observable and </w:t>
      </w:r>
      <w:r w:rsidR="007F4609">
        <w:rPr>
          <w:rFonts w:ascii="Times New Roman" w:hAnsi="Times New Roman" w:cs="Times New Roman"/>
          <w:sz w:val="24"/>
          <w:szCs w:val="24"/>
        </w:rPr>
        <w:t xml:space="preserve">substantial </w:t>
      </w:r>
      <w:r w:rsidR="00E97CA3">
        <w:rPr>
          <w:rFonts w:ascii="Times New Roman" w:hAnsi="Times New Roman" w:cs="Times New Roman"/>
          <w:sz w:val="24"/>
          <w:szCs w:val="24"/>
        </w:rPr>
        <w:t>downward movement in net debt levels for the most speculative firms</w:t>
      </w:r>
      <w:r>
        <w:rPr>
          <w:rFonts w:ascii="Times New Roman" w:hAnsi="Times New Roman" w:cs="Times New Roman"/>
          <w:sz w:val="24"/>
          <w:szCs w:val="24"/>
        </w:rPr>
        <w:t xml:space="preserve"> but not for </w:t>
      </w:r>
      <w:r w:rsidR="007F4609">
        <w:rPr>
          <w:rFonts w:ascii="Times New Roman" w:hAnsi="Times New Roman" w:cs="Times New Roman"/>
          <w:sz w:val="24"/>
          <w:szCs w:val="24"/>
        </w:rPr>
        <w:t xml:space="preserve">either </w:t>
      </w:r>
      <w:r w:rsidR="00A83FA2">
        <w:rPr>
          <w:rFonts w:ascii="Times New Roman" w:hAnsi="Times New Roman" w:cs="Times New Roman"/>
          <w:sz w:val="24"/>
          <w:szCs w:val="24"/>
        </w:rPr>
        <w:t xml:space="preserve">investment-grade </w:t>
      </w:r>
      <w:r w:rsidR="00C63265">
        <w:rPr>
          <w:rFonts w:ascii="Times New Roman" w:hAnsi="Times New Roman" w:cs="Times New Roman"/>
          <w:sz w:val="24"/>
          <w:szCs w:val="24"/>
        </w:rPr>
        <w:t xml:space="preserve">(IG) </w:t>
      </w:r>
      <w:r w:rsidR="00A83FA2">
        <w:rPr>
          <w:rFonts w:ascii="Times New Roman" w:hAnsi="Times New Roman" w:cs="Times New Roman"/>
          <w:sz w:val="24"/>
          <w:szCs w:val="24"/>
        </w:rPr>
        <w:t xml:space="preserve">or higher-rated speculative-grade </w:t>
      </w:r>
      <w:r w:rsidR="00C63265">
        <w:rPr>
          <w:rFonts w:ascii="Times New Roman" w:hAnsi="Times New Roman" w:cs="Times New Roman"/>
          <w:sz w:val="24"/>
          <w:szCs w:val="24"/>
        </w:rPr>
        <w:t xml:space="preserve">(SG) </w:t>
      </w:r>
      <w:r w:rsidR="00A83FA2">
        <w:rPr>
          <w:rFonts w:ascii="Times New Roman" w:hAnsi="Times New Roman" w:cs="Times New Roman"/>
          <w:sz w:val="24"/>
          <w:szCs w:val="24"/>
        </w:rPr>
        <w:t>firms</w:t>
      </w:r>
      <w:r w:rsidR="007F4609">
        <w:rPr>
          <w:rFonts w:ascii="Times New Roman" w:hAnsi="Times New Roman" w:cs="Times New Roman"/>
          <w:sz w:val="24"/>
          <w:szCs w:val="24"/>
        </w:rPr>
        <w:t xml:space="preserve">.  </w:t>
      </w:r>
      <w:bookmarkStart w:id="6" w:name="_Hlk78979103"/>
      <w:bookmarkStart w:id="7" w:name="_Hlk78977878"/>
      <w:r w:rsidR="0068679E">
        <w:rPr>
          <w:rFonts w:ascii="Times New Roman" w:hAnsi="Times New Roman" w:cs="Times New Roman"/>
          <w:sz w:val="24"/>
          <w:szCs w:val="24"/>
        </w:rPr>
        <w:t xml:space="preserve">Thus, reductions in net debt levels do not </w:t>
      </w:r>
      <w:r w:rsidR="005D39D9">
        <w:rPr>
          <w:rFonts w:ascii="Times New Roman" w:hAnsi="Times New Roman" w:cs="Times New Roman"/>
          <w:sz w:val="24"/>
          <w:szCs w:val="24"/>
        </w:rPr>
        <w:t xml:space="preserve">lead to upgrades or </w:t>
      </w:r>
      <w:r w:rsidR="0068679E">
        <w:rPr>
          <w:rFonts w:ascii="Times New Roman" w:hAnsi="Times New Roman" w:cs="Times New Roman"/>
          <w:sz w:val="24"/>
          <w:szCs w:val="24"/>
        </w:rPr>
        <w:t>prevent downgrades as CR-CS suggests</w:t>
      </w:r>
      <w:bookmarkEnd w:id="6"/>
      <w:r w:rsidR="0068679E">
        <w:rPr>
          <w:rFonts w:ascii="Times New Roman" w:hAnsi="Times New Roman" w:cs="Times New Roman"/>
          <w:sz w:val="24"/>
          <w:szCs w:val="24"/>
        </w:rPr>
        <w:t xml:space="preserve">.  </w:t>
      </w:r>
      <w:bookmarkEnd w:id="7"/>
      <w:r w:rsidR="00EA6B5B">
        <w:rPr>
          <w:rFonts w:ascii="Times New Roman" w:hAnsi="Times New Roman" w:cs="Times New Roman"/>
          <w:sz w:val="24"/>
          <w:szCs w:val="24"/>
        </w:rPr>
        <w:t xml:space="preserve">Further, </w:t>
      </w:r>
      <w:r w:rsidR="007F4609">
        <w:rPr>
          <w:rFonts w:ascii="Times New Roman" w:hAnsi="Times New Roman" w:cs="Times New Roman"/>
          <w:sz w:val="24"/>
          <w:szCs w:val="24"/>
        </w:rPr>
        <w:t xml:space="preserve">notch firms do not </w:t>
      </w:r>
      <w:r w:rsidR="0096229E">
        <w:rPr>
          <w:rFonts w:ascii="Times New Roman" w:hAnsi="Times New Roman" w:cs="Times New Roman"/>
          <w:sz w:val="24"/>
          <w:szCs w:val="24"/>
        </w:rPr>
        <w:t xml:space="preserve">generally </w:t>
      </w:r>
      <w:r w:rsidR="007F4609">
        <w:rPr>
          <w:rFonts w:ascii="Times New Roman" w:hAnsi="Times New Roman" w:cs="Times New Roman"/>
          <w:sz w:val="24"/>
          <w:szCs w:val="24"/>
        </w:rPr>
        <w:t xml:space="preserve">exhibit patterns of net debt level changes </w:t>
      </w:r>
      <w:r w:rsidR="0096229E">
        <w:rPr>
          <w:rFonts w:ascii="Times New Roman" w:hAnsi="Times New Roman" w:cs="Times New Roman"/>
          <w:sz w:val="24"/>
          <w:szCs w:val="24"/>
        </w:rPr>
        <w:t xml:space="preserve">different from those of </w:t>
      </w:r>
      <w:r w:rsidR="007F4609">
        <w:rPr>
          <w:rFonts w:ascii="Times New Roman" w:hAnsi="Times New Roman" w:cs="Times New Roman"/>
          <w:sz w:val="24"/>
          <w:szCs w:val="24"/>
        </w:rPr>
        <w:t>non-notch firms</w:t>
      </w:r>
      <w:r w:rsidR="00864F38">
        <w:rPr>
          <w:rFonts w:ascii="Times New Roman" w:hAnsi="Times New Roman" w:cs="Times New Roman"/>
          <w:sz w:val="24"/>
          <w:szCs w:val="24"/>
        </w:rPr>
        <w:t xml:space="preserve"> prior to downgrades</w:t>
      </w:r>
      <w:r w:rsidR="00424860">
        <w:rPr>
          <w:rFonts w:ascii="Times New Roman" w:hAnsi="Times New Roman" w:cs="Times New Roman"/>
          <w:sz w:val="24"/>
          <w:szCs w:val="24"/>
        </w:rPr>
        <w:t xml:space="preserve">.  </w:t>
      </w:r>
      <w:r w:rsidR="005D39D9">
        <w:rPr>
          <w:rFonts w:ascii="Times New Roman" w:hAnsi="Times New Roman" w:cs="Times New Roman"/>
          <w:sz w:val="24"/>
          <w:szCs w:val="24"/>
        </w:rPr>
        <w:t>Thus, o</w:t>
      </w:r>
      <w:r w:rsidR="00424860">
        <w:rPr>
          <w:rFonts w:ascii="Times New Roman" w:hAnsi="Times New Roman" w:cs="Times New Roman"/>
          <w:sz w:val="24"/>
          <w:szCs w:val="24"/>
        </w:rPr>
        <w:t xml:space="preserve">ur results don’t support previous findings suggesting </w:t>
      </w:r>
      <w:r w:rsidR="007F4609">
        <w:rPr>
          <w:rFonts w:ascii="Times New Roman" w:hAnsi="Times New Roman" w:cs="Times New Roman"/>
          <w:sz w:val="24"/>
          <w:szCs w:val="24"/>
        </w:rPr>
        <w:t xml:space="preserve">that notch </w:t>
      </w:r>
      <w:r w:rsidR="00F57E7D">
        <w:rPr>
          <w:rFonts w:ascii="Times New Roman" w:hAnsi="Times New Roman" w:cs="Times New Roman"/>
          <w:sz w:val="24"/>
          <w:szCs w:val="24"/>
        </w:rPr>
        <w:t>firms</w:t>
      </w:r>
      <w:r w:rsidR="0096229E">
        <w:rPr>
          <w:rFonts w:ascii="Times New Roman" w:hAnsi="Times New Roman" w:cs="Times New Roman"/>
          <w:sz w:val="24"/>
          <w:szCs w:val="24"/>
        </w:rPr>
        <w:t xml:space="preserve"> distinctly engage in debt structure adjustments to ei</w:t>
      </w:r>
      <w:r w:rsidR="00F57E7D">
        <w:rPr>
          <w:rFonts w:ascii="Times New Roman" w:hAnsi="Times New Roman" w:cs="Times New Roman"/>
          <w:sz w:val="24"/>
          <w:szCs w:val="24"/>
        </w:rPr>
        <w:t xml:space="preserve">ther increase the probability of </w:t>
      </w:r>
      <w:r w:rsidR="00424860">
        <w:rPr>
          <w:rFonts w:ascii="Times New Roman" w:hAnsi="Times New Roman" w:cs="Times New Roman"/>
          <w:sz w:val="24"/>
          <w:szCs w:val="24"/>
        </w:rPr>
        <w:t xml:space="preserve">an </w:t>
      </w:r>
      <w:r w:rsidR="00F57E7D">
        <w:rPr>
          <w:rFonts w:ascii="Times New Roman" w:hAnsi="Times New Roman" w:cs="Times New Roman"/>
          <w:sz w:val="24"/>
          <w:szCs w:val="24"/>
        </w:rPr>
        <w:t xml:space="preserve">upgrade or lower the probability of </w:t>
      </w:r>
      <w:r w:rsidR="00424860">
        <w:rPr>
          <w:rFonts w:ascii="Times New Roman" w:hAnsi="Times New Roman" w:cs="Times New Roman"/>
          <w:sz w:val="24"/>
          <w:szCs w:val="24"/>
        </w:rPr>
        <w:t xml:space="preserve">a </w:t>
      </w:r>
      <w:r w:rsidR="00F57E7D">
        <w:rPr>
          <w:rFonts w:ascii="Times New Roman" w:hAnsi="Times New Roman" w:cs="Times New Roman"/>
          <w:sz w:val="24"/>
          <w:szCs w:val="24"/>
        </w:rPr>
        <w:t xml:space="preserve">downgrade.  </w:t>
      </w:r>
    </w:p>
    <w:p w14:paraId="190CAD8B" w14:textId="6C60DFF5" w:rsidR="005A61A5" w:rsidRDefault="00A71AE5" w:rsidP="00227341">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These </w:t>
      </w:r>
      <w:r w:rsidR="00C63265">
        <w:rPr>
          <w:rFonts w:ascii="Times New Roman" w:hAnsi="Times New Roman" w:cs="Times New Roman"/>
          <w:sz w:val="24"/>
          <w:szCs w:val="24"/>
        </w:rPr>
        <w:t xml:space="preserve">conclusions </w:t>
      </w:r>
      <w:r>
        <w:rPr>
          <w:rFonts w:ascii="Times New Roman" w:hAnsi="Times New Roman" w:cs="Times New Roman"/>
          <w:sz w:val="24"/>
          <w:szCs w:val="24"/>
        </w:rPr>
        <w:t>are supported</w:t>
      </w:r>
      <w:r w:rsidR="00C63265">
        <w:rPr>
          <w:rFonts w:ascii="Times New Roman" w:hAnsi="Times New Roman" w:cs="Times New Roman"/>
          <w:sz w:val="24"/>
          <w:szCs w:val="24"/>
        </w:rPr>
        <w:t xml:space="preserve"> by evidence from </w:t>
      </w:r>
      <w:r>
        <w:rPr>
          <w:rFonts w:ascii="Times New Roman" w:hAnsi="Times New Roman" w:cs="Times New Roman"/>
          <w:sz w:val="24"/>
          <w:szCs w:val="24"/>
        </w:rPr>
        <w:t>linear models as well</w:t>
      </w:r>
      <w:r w:rsidR="00FE5FA7">
        <w:rPr>
          <w:rFonts w:ascii="Times New Roman" w:hAnsi="Times New Roman" w:cs="Times New Roman"/>
          <w:sz w:val="24"/>
          <w:szCs w:val="24"/>
        </w:rPr>
        <w:t xml:space="preserve"> that, unlike </w:t>
      </w:r>
      <w:proofErr w:type="spellStart"/>
      <w:r w:rsidR="00FE5FA7">
        <w:rPr>
          <w:rFonts w:ascii="Times New Roman" w:hAnsi="Times New Roman" w:cs="Times New Roman"/>
          <w:sz w:val="24"/>
          <w:szCs w:val="24"/>
        </w:rPr>
        <w:t>Kisgen</w:t>
      </w:r>
      <w:proofErr w:type="spellEnd"/>
      <w:r w:rsidR="00FE5FA7">
        <w:rPr>
          <w:rFonts w:ascii="Times New Roman" w:hAnsi="Times New Roman" w:cs="Times New Roman"/>
          <w:sz w:val="24"/>
          <w:szCs w:val="24"/>
        </w:rPr>
        <w:t xml:space="preserve">, account for the direction and strength of the rating change, </w:t>
      </w:r>
      <w:r w:rsidR="00FE5FA7" w:rsidRPr="00E607A0">
        <w:rPr>
          <w:rFonts w:ascii="Times New Roman" w:hAnsi="Times New Roman" w:cs="Times New Roman"/>
          <w:i/>
          <w:iCs/>
          <w:sz w:val="24"/>
          <w:szCs w:val="24"/>
        </w:rPr>
        <w:t>ΔSP</w:t>
      </w:r>
      <w:r w:rsidR="00FE5FA7">
        <w:rPr>
          <w:rFonts w:ascii="Times New Roman" w:hAnsi="Times New Roman" w:cs="Times New Roman"/>
          <w:sz w:val="24"/>
          <w:szCs w:val="24"/>
        </w:rPr>
        <w:t xml:space="preserve">.  </w:t>
      </w:r>
      <w:r>
        <w:rPr>
          <w:rFonts w:ascii="Times New Roman" w:hAnsi="Times New Roman" w:cs="Times New Roman"/>
          <w:sz w:val="24"/>
          <w:szCs w:val="24"/>
        </w:rPr>
        <w:t>Using d</w:t>
      </w:r>
      <w:r w:rsidR="005A61A5">
        <w:rPr>
          <w:rFonts w:ascii="Times New Roman" w:hAnsi="Times New Roman" w:cs="Times New Roman"/>
          <w:sz w:val="24"/>
          <w:szCs w:val="24"/>
        </w:rPr>
        <w:t>ummy variables for positive (</w:t>
      </w:r>
      <w:proofErr w:type="spellStart"/>
      <w:r w:rsidR="005A61A5" w:rsidRPr="00DD0D19">
        <w:rPr>
          <w:rFonts w:ascii="Times New Roman" w:hAnsi="Times New Roman" w:cs="Times New Roman"/>
          <w:i/>
          <w:sz w:val="24"/>
          <w:szCs w:val="24"/>
        </w:rPr>
        <w:t>CRp</w:t>
      </w:r>
      <w:proofErr w:type="spellEnd"/>
      <w:r w:rsidR="005A61A5">
        <w:rPr>
          <w:rFonts w:ascii="Times New Roman" w:hAnsi="Times New Roman" w:cs="Times New Roman"/>
          <w:sz w:val="24"/>
          <w:szCs w:val="24"/>
        </w:rPr>
        <w:t>) and negative (</w:t>
      </w:r>
      <w:proofErr w:type="spellStart"/>
      <w:r w:rsidR="005A61A5" w:rsidRPr="00DD0D19">
        <w:rPr>
          <w:rFonts w:ascii="Times New Roman" w:hAnsi="Times New Roman" w:cs="Times New Roman"/>
          <w:i/>
          <w:sz w:val="24"/>
          <w:szCs w:val="24"/>
        </w:rPr>
        <w:t>CRm</w:t>
      </w:r>
      <w:proofErr w:type="spellEnd"/>
      <w:r w:rsidR="005A61A5">
        <w:rPr>
          <w:rFonts w:ascii="Times New Roman" w:hAnsi="Times New Roman" w:cs="Times New Roman"/>
          <w:sz w:val="24"/>
          <w:szCs w:val="24"/>
        </w:rPr>
        <w:t xml:space="preserve">) </w:t>
      </w:r>
      <w:r w:rsidR="00C21816">
        <w:rPr>
          <w:rFonts w:ascii="Times New Roman" w:hAnsi="Times New Roman" w:cs="Times New Roman"/>
          <w:sz w:val="24"/>
          <w:szCs w:val="24"/>
        </w:rPr>
        <w:t xml:space="preserve">notch </w:t>
      </w:r>
      <w:r w:rsidR="005A61A5">
        <w:rPr>
          <w:rFonts w:ascii="Times New Roman" w:hAnsi="Times New Roman" w:cs="Times New Roman"/>
          <w:sz w:val="24"/>
          <w:szCs w:val="24"/>
        </w:rPr>
        <w:t>firms</w:t>
      </w:r>
      <w:r w:rsidR="00C21816">
        <w:rPr>
          <w:rFonts w:ascii="Times New Roman" w:hAnsi="Times New Roman" w:cs="Times New Roman"/>
          <w:sz w:val="24"/>
          <w:szCs w:val="24"/>
        </w:rPr>
        <w:t xml:space="preserve"> without CW announcements</w:t>
      </w:r>
      <w:r w:rsidR="00DA049A">
        <w:rPr>
          <w:rFonts w:ascii="Times New Roman" w:hAnsi="Times New Roman" w:cs="Times New Roman"/>
          <w:sz w:val="24"/>
          <w:szCs w:val="24"/>
        </w:rPr>
        <w:t xml:space="preserve"> </w:t>
      </w:r>
      <w:r w:rsidR="00246F4E">
        <w:rPr>
          <w:rFonts w:ascii="Times New Roman" w:hAnsi="Times New Roman" w:cs="Times New Roman"/>
          <w:sz w:val="24"/>
          <w:szCs w:val="24"/>
        </w:rPr>
        <w:t xml:space="preserve">seeking to explain volatility in </w:t>
      </w:r>
      <w:r w:rsidR="00416F71">
        <w:rPr>
          <w:rFonts w:ascii="Times New Roman" w:hAnsi="Times New Roman" w:cs="Times New Roman"/>
          <w:sz w:val="24"/>
          <w:szCs w:val="24"/>
        </w:rPr>
        <w:t>quarterly</w:t>
      </w:r>
      <w:r w:rsidR="00246F4E">
        <w:rPr>
          <w:rFonts w:ascii="Times New Roman" w:hAnsi="Times New Roman" w:cs="Times New Roman"/>
          <w:sz w:val="24"/>
          <w:szCs w:val="24"/>
        </w:rPr>
        <w:t xml:space="preserve"> net debt structure adjustments, we show that </w:t>
      </w:r>
      <w:r w:rsidR="00B1782A">
        <w:rPr>
          <w:rFonts w:ascii="Times New Roman" w:hAnsi="Times New Roman" w:cs="Times New Roman"/>
          <w:sz w:val="24"/>
          <w:szCs w:val="24"/>
        </w:rPr>
        <w:t xml:space="preserve">coefficients on these variables </w:t>
      </w:r>
      <w:r w:rsidR="00C21816">
        <w:rPr>
          <w:rFonts w:ascii="Times New Roman" w:hAnsi="Times New Roman" w:cs="Times New Roman"/>
          <w:sz w:val="24"/>
          <w:szCs w:val="24"/>
        </w:rPr>
        <w:t xml:space="preserve">are insignificant when </w:t>
      </w:r>
      <w:r w:rsidR="00A618FA">
        <w:rPr>
          <w:rFonts w:ascii="Times New Roman" w:hAnsi="Times New Roman" w:cs="Times New Roman"/>
          <w:sz w:val="24"/>
          <w:szCs w:val="24"/>
        </w:rPr>
        <w:t xml:space="preserve">these adjustments are measured before (PRE) the rating </w:t>
      </w:r>
      <w:proofErr w:type="gramStart"/>
      <w:r w:rsidR="00A618FA">
        <w:rPr>
          <w:rFonts w:ascii="Times New Roman" w:hAnsi="Times New Roman" w:cs="Times New Roman"/>
          <w:sz w:val="24"/>
          <w:szCs w:val="24"/>
        </w:rPr>
        <w:t>change, but</w:t>
      </w:r>
      <w:proofErr w:type="gramEnd"/>
      <w:r w:rsidR="00A618FA">
        <w:rPr>
          <w:rFonts w:ascii="Times New Roman" w:hAnsi="Times New Roman" w:cs="Times New Roman"/>
          <w:sz w:val="24"/>
          <w:szCs w:val="24"/>
        </w:rPr>
        <w:t xml:space="preserve"> </w:t>
      </w:r>
      <w:r w:rsidR="00D076B8">
        <w:rPr>
          <w:rFonts w:ascii="Times New Roman" w:hAnsi="Times New Roman" w:cs="Times New Roman"/>
          <w:sz w:val="24"/>
          <w:szCs w:val="24"/>
        </w:rPr>
        <w:t xml:space="preserve">are </w:t>
      </w:r>
      <w:r w:rsidR="00C21816">
        <w:rPr>
          <w:rFonts w:ascii="Times New Roman" w:hAnsi="Times New Roman" w:cs="Times New Roman"/>
          <w:sz w:val="24"/>
          <w:szCs w:val="24"/>
        </w:rPr>
        <w:lastRenderedPageBreak/>
        <w:t xml:space="preserve">positive when </w:t>
      </w:r>
      <w:r w:rsidR="00287A10">
        <w:rPr>
          <w:rFonts w:ascii="Times New Roman" w:hAnsi="Times New Roman" w:cs="Times New Roman"/>
          <w:sz w:val="24"/>
          <w:szCs w:val="24"/>
        </w:rPr>
        <w:t xml:space="preserve">these adjustments are </w:t>
      </w:r>
      <w:r w:rsidR="00C21816">
        <w:rPr>
          <w:rFonts w:ascii="Times New Roman" w:hAnsi="Times New Roman" w:cs="Times New Roman"/>
          <w:sz w:val="24"/>
          <w:szCs w:val="24"/>
        </w:rPr>
        <w:t xml:space="preserve">measured </w:t>
      </w:r>
      <w:r w:rsidR="00A618FA">
        <w:rPr>
          <w:rFonts w:ascii="Times New Roman" w:hAnsi="Times New Roman" w:cs="Times New Roman"/>
          <w:sz w:val="24"/>
          <w:szCs w:val="24"/>
        </w:rPr>
        <w:t>after (</w:t>
      </w:r>
      <w:r w:rsidR="00C21816">
        <w:rPr>
          <w:rFonts w:ascii="Times New Roman" w:hAnsi="Times New Roman" w:cs="Times New Roman"/>
          <w:sz w:val="24"/>
          <w:szCs w:val="24"/>
        </w:rPr>
        <w:t>POST</w:t>
      </w:r>
      <w:r w:rsidR="00A618FA">
        <w:rPr>
          <w:rFonts w:ascii="Times New Roman" w:hAnsi="Times New Roman" w:cs="Times New Roman"/>
          <w:sz w:val="24"/>
          <w:szCs w:val="24"/>
        </w:rPr>
        <w:t>)</w:t>
      </w:r>
      <w:r w:rsidR="0037612A">
        <w:rPr>
          <w:rFonts w:ascii="Times New Roman" w:hAnsi="Times New Roman" w:cs="Times New Roman"/>
          <w:sz w:val="24"/>
          <w:szCs w:val="24"/>
        </w:rPr>
        <w:t>.</w:t>
      </w:r>
      <w:r w:rsidR="00C21816">
        <w:rPr>
          <w:rFonts w:ascii="Times New Roman" w:hAnsi="Times New Roman" w:cs="Times New Roman"/>
          <w:sz w:val="24"/>
          <w:szCs w:val="24"/>
        </w:rPr>
        <w:t xml:space="preserve">  For firms with </w:t>
      </w:r>
      <w:r w:rsidR="0016631A">
        <w:rPr>
          <w:rFonts w:ascii="Times New Roman" w:hAnsi="Times New Roman" w:cs="Times New Roman"/>
          <w:sz w:val="24"/>
          <w:szCs w:val="24"/>
        </w:rPr>
        <w:t>CW announcements</w:t>
      </w:r>
      <w:r w:rsidR="00C21816">
        <w:rPr>
          <w:rFonts w:ascii="Times New Roman" w:hAnsi="Times New Roman" w:cs="Times New Roman"/>
          <w:sz w:val="24"/>
          <w:szCs w:val="24"/>
        </w:rPr>
        <w:t xml:space="preserve">, </w:t>
      </w:r>
      <w:r w:rsidR="00B1782A">
        <w:rPr>
          <w:rFonts w:ascii="Times New Roman" w:hAnsi="Times New Roman" w:cs="Times New Roman"/>
          <w:sz w:val="24"/>
          <w:szCs w:val="24"/>
        </w:rPr>
        <w:t xml:space="preserve">coefficients for </w:t>
      </w:r>
      <w:proofErr w:type="spellStart"/>
      <w:r w:rsidR="00C21816" w:rsidRPr="00F40A2D">
        <w:rPr>
          <w:rFonts w:ascii="Times New Roman" w:hAnsi="Times New Roman" w:cs="Times New Roman"/>
          <w:i/>
          <w:sz w:val="24"/>
          <w:szCs w:val="24"/>
        </w:rPr>
        <w:t>CRp</w:t>
      </w:r>
      <w:proofErr w:type="spellEnd"/>
      <w:r w:rsidR="00C21816">
        <w:rPr>
          <w:rFonts w:ascii="Times New Roman" w:hAnsi="Times New Roman" w:cs="Times New Roman"/>
          <w:sz w:val="24"/>
          <w:szCs w:val="24"/>
        </w:rPr>
        <w:t xml:space="preserve"> and </w:t>
      </w:r>
      <w:proofErr w:type="spellStart"/>
      <w:r w:rsidR="00C21816" w:rsidRPr="00F40A2D">
        <w:rPr>
          <w:rFonts w:ascii="Times New Roman" w:hAnsi="Times New Roman" w:cs="Times New Roman"/>
          <w:i/>
          <w:sz w:val="24"/>
          <w:szCs w:val="24"/>
        </w:rPr>
        <w:t>CRm</w:t>
      </w:r>
      <w:proofErr w:type="spellEnd"/>
      <w:r w:rsidR="00C21816">
        <w:rPr>
          <w:rFonts w:ascii="Times New Roman" w:hAnsi="Times New Roman" w:cs="Times New Roman"/>
          <w:sz w:val="24"/>
          <w:szCs w:val="24"/>
        </w:rPr>
        <w:t xml:space="preserve"> are </w:t>
      </w:r>
      <w:r w:rsidR="00CB61D0">
        <w:rPr>
          <w:rFonts w:ascii="Times New Roman" w:hAnsi="Times New Roman" w:cs="Times New Roman"/>
          <w:sz w:val="24"/>
          <w:szCs w:val="24"/>
        </w:rPr>
        <w:t xml:space="preserve">both </w:t>
      </w:r>
      <w:r w:rsidR="00C21816">
        <w:rPr>
          <w:rFonts w:ascii="Times New Roman" w:hAnsi="Times New Roman" w:cs="Times New Roman"/>
          <w:sz w:val="24"/>
          <w:szCs w:val="24"/>
        </w:rPr>
        <w:t xml:space="preserve">significantly positive </w:t>
      </w:r>
      <w:r w:rsidR="00B1782A">
        <w:rPr>
          <w:rFonts w:ascii="Times New Roman" w:hAnsi="Times New Roman" w:cs="Times New Roman"/>
          <w:sz w:val="24"/>
          <w:szCs w:val="24"/>
        </w:rPr>
        <w:t xml:space="preserve">when measured </w:t>
      </w:r>
      <w:r w:rsidR="0069503F">
        <w:rPr>
          <w:rFonts w:ascii="Times New Roman" w:hAnsi="Times New Roman" w:cs="Times New Roman"/>
          <w:sz w:val="24"/>
          <w:szCs w:val="24"/>
        </w:rPr>
        <w:t xml:space="preserve">both </w:t>
      </w:r>
      <w:r w:rsidR="00091EE8">
        <w:rPr>
          <w:rFonts w:ascii="Times New Roman" w:hAnsi="Times New Roman" w:cs="Times New Roman"/>
          <w:sz w:val="24"/>
          <w:szCs w:val="24"/>
        </w:rPr>
        <w:t>PRE and POST</w:t>
      </w:r>
      <w:r w:rsidR="00B1782A">
        <w:rPr>
          <w:rFonts w:ascii="Times New Roman" w:hAnsi="Times New Roman" w:cs="Times New Roman"/>
          <w:sz w:val="24"/>
          <w:szCs w:val="24"/>
        </w:rPr>
        <w:t xml:space="preserve">.  </w:t>
      </w:r>
      <w:r w:rsidR="00FE5FA7">
        <w:rPr>
          <w:rFonts w:ascii="Times New Roman" w:hAnsi="Times New Roman" w:cs="Times New Roman"/>
          <w:sz w:val="24"/>
          <w:szCs w:val="24"/>
        </w:rPr>
        <w:t xml:space="preserve">Thus, our results show </w:t>
      </w:r>
      <w:r w:rsidR="00B1782A">
        <w:rPr>
          <w:rFonts w:ascii="Times New Roman" w:hAnsi="Times New Roman" w:cs="Times New Roman"/>
          <w:sz w:val="24"/>
          <w:szCs w:val="24"/>
        </w:rPr>
        <w:t xml:space="preserve">that </w:t>
      </w:r>
      <w:r w:rsidR="005A3383">
        <w:rPr>
          <w:rFonts w:ascii="Times New Roman" w:hAnsi="Times New Roman" w:cs="Times New Roman"/>
          <w:sz w:val="24"/>
          <w:szCs w:val="24"/>
        </w:rPr>
        <w:t>notch</w:t>
      </w:r>
      <w:r w:rsidR="00406AB8">
        <w:rPr>
          <w:rFonts w:ascii="Times New Roman" w:hAnsi="Times New Roman" w:cs="Times New Roman"/>
          <w:sz w:val="24"/>
          <w:szCs w:val="24"/>
        </w:rPr>
        <w:t xml:space="preserve"> </w:t>
      </w:r>
      <w:r w:rsidR="005A3383">
        <w:rPr>
          <w:rFonts w:ascii="Times New Roman" w:hAnsi="Times New Roman" w:cs="Times New Roman"/>
          <w:sz w:val="24"/>
          <w:szCs w:val="24"/>
        </w:rPr>
        <w:t xml:space="preserve">firms are </w:t>
      </w:r>
      <w:r w:rsidR="004B3D01">
        <w:rPr>
          <w:rFonts w:ascii="Times New Roman" w:hAnsi="Times New Roman" w:cs="Times New Roman"/>
          <w:sz w:val="24"/>
          <w:szCs w:val="24"/>
        </w:rPr>
        <w:t xml:space="preserve">not </w:t>
      </w:r>
      <w:r w:rsidR="005A3383">
        <w:rPr>
          <w:rFonts w:ascii="Times New Roman" w:hAnsi="Times New Roman" w:cs="Times New Roman"/>
          <w:sz w:val="24"/>
          <w:szCs w:val="24"/>
        </w:rPr>
        <w:t>associated with greater</w:t>
      </w:r>
      <w:r w:rsidR="002C288F">
        <w:rPr>
          <w:rFonts w:ascii="Times New Roman" w:hAnsi="Times New Roman" w:cs="Times New Roman"/>
          <w:sz w:val="24"/>
          <w:szCs w:val="24"/>
        </w:rPr>
        <w:t xml:space="preserve"> </w:t>
      </w:r>
      <w:r w:rsidR="004B3D01">
        <w:rPr>
          <w:rFonts w:ascii="Times New Roman" w:hAnsi="Times New Roman" w:cs="Times New Roman"/>
          <w:sz w:val="24"/>
          <w:szCs w:val="24"/>
        </w:rPr>
        <w:t xml:space="preserve">net debt reduction </w:t>
      </w:r>
      <w:r w:rsidR="00406AB8">
        <w:rPr>
          <w:rFonts w:ascii="Times New Roman" w:hAnsi="Times New Roman" w:cs="Times New Roman"/>
          <w:sz w:val="24"/>
          <w:szCs w:val="24"/>
        </w:rPr>
        <w:t xml:space="preserve">than non-notch firms </w:t>
      </w:r>
      <w:r w:rsidR="004B3D01">
        <w:rPr>
          <w:rFonts w:ascii="Times New Roman" w:hAnsi="Times New Roman" w:cs="Times New Roman"/>
          <w:sz w:val="24"/>
          <w:szCs w:val="24"/>
        </w:rPr>
        <w:t>over time surrounding the rating change</w:t>
      </w:r>
      <w:r w:rsidR="00FE5FA7">
        <w:rPr>
          <w:rFonts w:ascii="Times New Roman" w:hAnsi="Times New Roman" w:cs="Times New Roman"/>
          <w:sz w:val="24"/>
          <w:szCs w:val="24"/>
        </w:rPr>
        <w:t xml:space="preserve"> with </w:t>
      </w:r>
      <w:r w:rsidR="00FE5FA7" w:rsidRPr="00E607A0">
        <w:rPr>
          <w:rFonts w:ascii="Times New Roman" w:hAnsi="Times New Roman" w:cs="Times New Roman"/>
          <w:i/>
          <w:iCs/>
          <w:sz w:val="24"/>
          <w:szCs w:val="24"/>
        </w:rPr>
        <w:t>ΔSP</w:t>
      </w:r>
      <w:r w:rsidR="00FE5FA7">
        <w:rPr>
          <w:rFonts w:ascii="Times New Roman" w:hAnsi="Times New Roman" w:cs="Times New Roman"/>
          <w:sz w:val="24"/>
          <w:szCs w:val="24"/>
        </w:rPr>
        <w:t xml:space="preserve"> accounted for.  </w:t>
      </w:r>
    </w:p>
    <w:p w14:paraId="786F60BA" w14:textId="51ACA54F" w:rsidR="002170DE" w:rsidRDefault="001476BC" w:rsidP="00227341">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W</w:t>
      </w:r>
      <w:r w:rsidR="00515A65">
        <w:rPr>
          <w:rFonts w:ascii="Times New Roman" w:hAnsi="Times New Roman" w:cs="Times New Roman"/>
          <w:sz w:val="24"/>
          <w:szCs w:val="24"/>
        </w:rPr>
        <w:t xml:space="preserve">hen testing </w:t>
      </w:r>
      <w:r>
        <w:rPr>
          <w:rFonts w:ascii="Times New Roman" w:hAnsi="Times New Roman" w:cs="Times New Roman"/>
          <w:sz w:val="24"/>
          <w:szCs w:val="24"/>
        </w:rPr>
        <w:t xml:space="preserve">to see </w:t>
      </w:r>
      <w:r w:rsidR="00515A65">
        <w:rPr>
          <w:rFonts w:ascii="Times New Roman" w:hAnsi="Times New Roman" w:cs="Times New Roman"/>
          <w:sz w:val="24"/>
          <w:szCs w:val="24"/>
        </w:rPr>
        <w:t xml:space="preserve">how </w:t>
      </w:r>
      <w:r w:rsidR="00334BF0">
        <w:rPr>
          <w:rFonts w:ascii="Times New Roman" w:hAnsi="Times New Roman" w:cs="Times New Roman"/>
          <w:sz w:val="24"/>
          <w:szCs w:val="24"/>
        </w:rPr>
        <w:t xml:space="preserve">rating status and </w:t>
      </w:r>
      <w:r w:rsidR="007026D1">
        <w:rPr>
          <w:rFonts w:ascii="Times New Roman" w:hAnsi="Times New Roman" w:cs="Times New Roman"/>
          <w:sz w:val="24"/>
          <w:szCs w:val="24"/>
        </w:rPr>
        <w:t xml:space="preserve">net debt structure changes </w:t>
      </w:r>
      <w:r w:rsidR="00334BF0">
        <w:rPr>
          <w:rFonts w:ascii="Times New Roman" w:hAnsi="Times New Roman" w:cs="Times New Roman"/>
          <w:sz w:val="24"/>
          <w:szCs w:val="24"/>
        </w:rPr>
        <w:t xml:space="preserve">measured </w:t>
      </w:r>
      <w:r w:rsidR="007026D1">
        <w:rPr>
          <w:rFonts w:ascii="Times New Roman" w:hAnsi="Times New Roman" w:cs="Times New Roman"/>
          <w:sz w:val="24"/>
          <w:szCs w:val="24"/>
        </w:rPr>
        <w:t xml:space="preserve">PRE </w:t>
      </w:r>
      <w:r w:rsidR="00333AB6">
        <w:rPr>
          <w:rFonts w:ascii="Times New Roman" w:hAnsi="Times New Roman" w:cs="Times New Roman"/>
          <w:sz w:val="24"/>
          <w:szCs w:val="24"/>
        </w:rPr>
        <w:t>a</w:t>
      </w:r>
      <w:r w:rsidR="007026D1">
        <w:rPr>
          <w:rFonts w:ascii="Times New Roman" w:hAnsi="Times New Roman" w:cs="Times New Roman"/>
          <w:sz w:val="24"/>
          <w:szCs w:val="24"/>
        </w:rPr>
        <w:t xml:space="preserve">re related to </w:t>
      </w:r>
      <w:r w:rsidR="004F4CE8">
        <w:rPr>
          <w:rFonts w:ascii="Times New Roman" w:hAnsi="Times New Roman" w:cs="Times New Roman"/>
          <w:sz w:val="24"/>
          <w:szCs w:val="24"/>
        </w:rPr>
        <w:t xml:space="preserve">a binary representation of </w:t>
      </w:r>
      <w:r w:rsidR="007026D1" w:rsidRPr="001E2D9F">
        <w:rPr>
          <w:rFonts w:ascii="Times New Roman" w:hAnsi="Times New Roman" w:cs="Times New Roman"/>
          <w:i/>
          <w:iCs/>
          <w:sz w:val="24"/>
          <w:szCs w:val="24"/>
        </w:rPr>
        <w:t>ΔSP</w:t>
      </w:r>
      <w:r w:rsidR="00515A65">
        <w:rPr>
          <w:rFonts w:ascii="Times New Roman" w:hAnsi="Times New Roman" w:cs="Times New Roman"/>
          <w:sz w:val="24"/>
          <w:szCs w:val="24"/>
        </w:rPr>
        <w:t xml:space="preserve"> </w:t>
      </w:r>
      <w:r w:rsidR="004F4CE8">
        <w:rPr>
          <w:rFonts w:ascii="Times New Roman" w:hAnsi="Times New Roman" w:cs="Times New Roman"/>
          <w:sz w:val="24"/>
          <w:szCs w:val="24"/>
        </w:rPr>
        <w:t xml:space="preserve">with upgrades equal to one and downgrades equal to zero, </w:t>
      </w:r>
      <w:r w:rsidR="00687B78">
        <w:rPr>
          <w:rFonts w:ascii="Times New Roman" w:hAnsi="Times New Roman" w:cs="Times New Roman"/>
          <w:sz w:val="24"/>
          <w:szCs w:val="24"/>
        </w:rPr>
        <w:t xml:space="preserve">we show that </w:t>
      </w:r>
      <w:proofErr w:type="spellStart"/>
      <w:r w:rsidR="00333AB6" w:rsidRPr="00F40A2D">
        <w:rPr>
          <w:rFonts w:ascii="Times New Roman" w:hAnsi="Times New Roman" w:cs="Times New Roman"/>
          <w:i/>
          <w:sz w:val="24"/>
          <w:szCs w:val="24"/>
        </w:rPr>
        <w:t>CRp</w:t>
      </w:r>
      <w:proofErr w:type="spellEnd"/>
      <w:r w:rsidR="00333AB6">
        <w:rPr>
          <w:rFonts w:ascii="Times New Roman" w:hAnsi="Times New Roman" w:cs="Times New Roman"/>
          <w:sz w:val="24"/>
          <w:szCs w:val="24"/>
        </w:rPr>
        <w:t xml:space="preserve"> provides no explanatory power for firms without CW announcements and is negatively related to the probability of upgrade for firms with CW announcements over quarters Q-8 through Q-3.  </w:t>
      </w:r>
      <w:proofErr w:type="spellStart"/>
      <w:r w:rsidR="00333AB6" w:rsidRPr="00F40A2D">
        <w:rPr>
          <w:rFonts w:ascii="Times New Roman" w:hAnsi="Times New Roman" w:cs="Times New Roman"/>
          <w:i/>
          <w:sz w:val="24"/>
          <w:szCs w:val="24"/>
        </w:rPr>
        <w:t>CRm</w:t>
      </w:r>
      <w:proofErr w:type="spellEnd"/>
      <w:r w:rsidR="00333AB6">
        <w:rPr>
          <w:rFonts w:ascii="Times New Roman" w:hAnsi="Times New Roman" w:cs="Times New Roman"/>
          <w:sz w:val="24"/>
          <w:szCs w:val="24"/>
        </w:rPr>
        <w:t xml:space="preserve"> is unrelated to probability of upgrade for firms without </w:t>
      </w:r>
      <w:r w:rsidR="00B8781A">
        <w:rPr>
          <w:rFonts w:ascii="Times New Roman" w:hAnsi="Times New Roman" w:cs="Times New Roman"/>
          <w:sz w:val="24"/>
          <w:szCs w:val="24"/>
        </w:rPr>
        <w:t xml:space="preserve">and with </w:t>
      </w:r>
      <w:r w:rsidR="00333AB6">
        <w:rPr>
          <w:rFonts w:ascii="Times New Roman" w:hAnsi="Times New Roman" w:cs="Times New Roman"/>
          <w:sz w:val="24"/>
          <w:szCs w:val="24"/>
        </w:rPr>
        <w:t>CW announcements</w:t>
      </w:r>
      <w:r w:rsidR="00B8781A">
        <w:rPr>
          <w:rFonts w:ascii="Times New Roman" w:hAnsi="Times New Roman" w:cs="Times New Roman"/>
          <w:sz w:val="24"/>
          <w:szCs w:val="24"/>
        </w:rPr>
        <w:t xml:space="preserve">.  </w:t>
      </w:r>
      <w:r w:rsidR="00334BF0">
        <w:rPr>
          <w:rFonts w:ascii="Times New Roman" w:hAnsi="Times New Roman" w:cs="Times New Roman"/>
          <w:sz w:val="24"/>
          <w:szCs w:val="24"/>
        </w:rPr>
        <w:t xml:space="preserve">Thus, rating status especially close to the rating </w:t>
      </w:r>
      <w:r w:rsidR="00994210">
        <w:rPr>
          <w:rFonts w:ascii="Times New Roman" w:hAnsi="Times New Roman" w:cs="Times New Roman"/>
          <w:sz w:val="24"/>
          <w:szCs w:val="24"/>
        </w:rPr>
        <w:t xml:space="preserve">change </w:t>
      </w:r>
      <w:r w:rsidR="00334BF0">
        <w:rPr>
          <w:rFonts w:ascii="Times New Roman" w:hAnsi="Times New Roman" w:cs="Times New Roman"/>
          <w:sz w:val="24"/>
          <w:szCs w:val="24"/>
        </w:rPr>
        <w:t xml:space="preserve">does not provide help </w:t>
      </w:r>
      <w:r w:rsidR="00994210">
        <w:rPr>
          <w:rFonts w:ascii="Times New Roman" w:hAnsi="Times New Roman" w:cs="Times New Roman"/>
          <w:sz w:val="24"/>
          <w:szCs w:val="24"/>
        </w:rPr>
        <w:t xml:space="preserve">to </w:t>
      </w:r>
      <w:r w:rsidR="00687B78">
        <w:rPr>
          <w:rFonts w:ascii="Times New Roman" w:hAnsi="Times New Roman" w:cs="Times New Roman"/>
          <w:sz w:val="24"/>
          <w:szCs w:val="24"/>
        </w:rPr>
        <w:t xml:space="preserve">explain </w:t>
      </w:r>
      <w:r w:rsidR="00334BF0">
        <w:rPr>
          <w:rFonts w:ascii="Times New Roman" w:hAnsi="Times New Roman" w:cs="Times New Roman"/>
          <w:sz w:val="24"/>
          <w:szCs w:val="24"/>
        </w:rPr>
        <w:t xml:space="preserve">the probability of upgrade.  </w:t>
      </w:r>
      <w:r>
        <w:rPr>
          <w:rFonts w:ascii="Times New Roman" w:hAnsi="Times New Roman" w:cs="Times New Roman"/>
          <w:sz w:val="24"/>
          <w:szCs w:val="24"/>
        </w:rPr>
        <w:t xml:space="preserve">Finally, we </w:t>
      </w:r>
      <w:r w:rsidR="00C836C2">
        <w:rPr>
          <w:rFonts w:ascii="Times New Roman" w:hAnsi="Times New Roman" w:cs="Times New Roman"/>
          <w:sz w:val="24"/>
          <w:szCs w:val="24"/>
        </w:rPr>
        <w:t>reveal that reductions in net debt measured PRE are generally associated with increases in the probability of upgrade across all firms distinguished by presence or absence of CW announcements</w:t>
      </w:r>
      <w:r w:rsidR="0039044B">
        <w:rPr>
          <w:rFonts w:ascii="Times New Roman" w:hAnsi="Times New Roman" w:cs="Times New Roman"/>
          <w:sz w:val="24"/>
          <w:szCs w:val="24"/>
        </w:rPr>
        <w:t>.</w:t>
      </w:r>
    </w:p>
    <w:p w14:paraId="39B72AF9" w14:textId="433AC0FB" w:rsidR="003A01F1" w:rsidRDefault="003A01F1" w:rsidP="00227341">
      <w:pPr>
        <w:spacing w:after="0" w:line="360" w:lineRule="auto"/>
        <w:ind w:firstLine="360"/>
        <w:rPr>
          <w:rFonts w:ascii="Times New Roman" w:hAnsi="Times New Roman" w:cs="Times New Roman"/>
          <w:sz w:val="24"/>
          <w:szCs w:val="24"/>
        </w:rPr>
      </w:pPr>
      <w:r w:rsidRPr="003A01F1">
        <w:rPr>
          <w:rFonts w:ascii="Times New Roman" w:hAnsi="Times New Roman" w:cs="Times New Roman"/>
          <w:sz w:val="24"/>
          <w:szCs w:val="24"/>
        </w:rPr>
        <w:t>The rest of this paper is</w:t>
      </w:r>
      <w:r w:rsidR="005E2B05">
        <w:rPr>
          <w:rFonts w:ascii="Times New Roman" w:hAnsi="Times New Roman" w:cs="Times New Roman"/>
          <w:sz w:val="24"/>
          <w:szCs w:val="24"/>
        </w:rPr>
        <w:t xml:space="preserve"> organized as follows:</w:t>
      </w:r>
      <w:r w:rsidR="00965E36">
        <w:rPr>
          <w:rFonts w:ascii="Times New Roman" w:hAnsi="Times New Roman" w:cs="Times New Roman"/>
          <w:sz w:val="24"/>
          <w:szCs w:val="24"/>
        </w:rPr>
        <w:t xml:space="preserve"> Section II</w:t>
      </w:r>
      <w:r w:rsidRPr="003A01F1">
        <w:rPr>
          <w:rFonts w:ascii="Times New Roman" w:hAnsi="Times New Roman" w:cs="Times New Roman"/>
          <w:sz w:val="24"/>
          <w:szCs w:val="24"/>
        </w:rPr>
        <w:t xml:space="preserve"> </w:t>
      </w:r>
      <w:r w:rsidR="00965E36">
        <w:rPr>
          <w:rFonts w:ascii="Times New Roman" w:hAnsi="Times New Roman" w:cs="Times New Roman"/>
          <w:sz w:val="24"/>
          <w:szCs w:val="24"/>
        </w:rPr>
        <w:t xml:space="preserve">provides a brief literature review and section III reveals the </w:t>
      </w:r>
      <w:r w:rsidRPr="003A01F1">
        <w:rPr>
          <w:rFonts w:ascii="Times New Roman" w:hAnsi="Times New Roman" w:cs="Times New Roman"/>
          <w:sz w:val="24"/>
          <w:szCs w:val="24"/>
        </w:rPr>
        <w:t>hypotheses</w:t>
      </w:r>
      <w:r w:rsidR="003529E0">
        <w:rPr>
          <w:rFonts w:ascii="Times New Roman" w:hAnsi="Times New Roman" w:cs="Times New Roman"/>
          <w:sz w:val="24"/>
          <w:szCs w:val="24"/>
        </w:rPr>
        <w:t xml:space="preserve"> of the paper.  Section IV presents </w:t>
      </w:r>
      <w:r w:rsidR="00965E36">
        <w:rPr>
          <w:rFonts w:ascii="Times New Roman" w:hAnsi="Times New Roman" w:cs="Times New Roman"/>
          <w:sz w:val="24"/>
          <w:szCs w:val="24"/>
        </w:rPr>
        <w:t>data</w:t>
      </w:r>
      <w:r w:rsidR="003529E0">
        <w:rPr>
          <w:rFonts w:ascii="Times New Roman" w:hAnsi="Times New Roman" w:cs="Times New Roman"/>
          <w:sz w:val="24"/>
          <w:szCs w:val="24"/>
        </w:rPr>
        <w:t xml:space="preserve"> </w:t>
      </w:r>
      <w:r w:rsidR="00965E36">
        <w:rPr>
          <w:rFonts w:ascii="Times New Roman" w:hAnsi="Times New Roman" w:cs="Times New Roman"/>
          <w:sz w:val="24"/>
          <w:szCs w:val="24"/>
        </w:rPr>
        <w:t>and methodology</w:t>
      </w:r>
      <w:r w:rsidR="005E2B05">
        <w:rPr>
          <w:rFonts w:ascii="Times New Roman" w:hAnsi="Times New Roman" w:cs="Times New Roman"/>
          <w:sz w:val="24"/>
          <w:szCs w:val="24"/>
        </w:rPr>
        <w:t xml:space="preserve"> used to develop the paper</w:t>
      </w:r>
      <w:r w:rsidR="00965E36">
        <w:rPr>
          <w:rFonts w:ascii="Times New Roman" w:hAnsi="Times New Roman" w:cs="Times New Roman"/>
          <w:sz w:val="24"/>
          <w:szCs w:val="24"/>
        </w:rPr>
        <w:t xml:space="preserve">.  Section V details empirical </w:t>
      </w:r>
      <w:r w:rsidR="005E2B05">
        <w:rPr>
          <w:rFonts w:ascii="Times New Roman" w:hAnsi="Times New Roman" w:cs="Times New Roman"/>
          <w:sz w:val="24"/>
          <w:szCs w:val="24"/>
        </w:rPr>
        <w:t>results and analysis while section V</w:t>
      </w:r>
      <w:r w:rsidR="003529E0">
        <w:rPr>
          <w:rFonts w:ascii="Times New Roman" w:hAnsi="Times New Roman" w:cs="Times New Roman"/>
          <w:sz w:val="24"/>
          <w:szCs w:val="24"/>
        </w:rPr>
        <w:t>I</w:t>
      </w:r>
      <w:r w:rsidR="00965E36">
        <w:rPr>
          <w:rFonts w:ascii="Times New Roman" w:hAnsi="Times New Roman" w:cs="Times New Roman"/>
          <w:sz w:val="24"/>
          <w:szCs w:val="24"/>
        </w:rPr>
        <w:t xml:space="preserve"> presents </w:t>
      </w:r>
      <w:r>
        <w:rPr>
          <w:rFonts w:ascii="Times New Roman" w:hAnsi="Times New Roman" w:cs="Times New Roman"/>
          <w:sz w:val="24"/>
          <w:szCs w:val="24"/>
        </w:rPr>
        <w:t xml:space="preserve">our concluding </w:t>
      </w:r>
      <w:r w:rsidRPr="003A01F1">
        <w:rPr>
          <w:rFonts w:ascii="Times New Roman" w:hAnsi="Times New Roman" w:cs="Times New Roman"/>
          <w:sz w:val="24"/>
          <w:szCs w:val="24"/>
        </w:rPr>
        <w:t>remarks.</w:t>
      </w:r>
    </w:p>
    <w:p w14:paraId="4D659F0C" w14:textId="77777777" w:rsidR="003A01F1" w:rsidRDefault="003A01F1" w:rsidP="00FA69A0">
      <w:pPr>
        <w:spacing w:after="0" w:line="240" w:lineRule="auto"/>
        <w:ind w:firstLine="360"/>
        <w:rPr>
          <w:rFonts w:ascii="Times New Roman" w:hAnsi="Times New Roman" w:cs="Times New Roman"/>
          <w:sz w:val="24"/>
          <w:szCs w:val="24"/>
        </w:rPr>
      </w:pPr>
    </w:p>
    <w:p w14:paraId="478E1416" w14:textId="77777777" w:rsidR="008A45D8" w:rsidRPr="00C27C62" w:rsidRDefault="008A45D8" w:rsidP="002D6019">
      <w:pPr>
        <w:pStyle w:val="ListParagraph"/>
        <w:numPr>
          <w:ilvl w:val="0"/>
          <w:numId w:val="3"/>
        </w:numPr>
        <w:spacing w:after="0" w:line="240" w:lineRule="auto"/>
        <w:rPr>
          <w:rFonts w:ascii="Times New Roman" w:hAnsi="Times New Roman" w:cs="Times New Roman"/>
          <w:b/>
          <w:sz w:val="24"/>
          <w:szCs w:val="24"/>
        </w:rPr>
      </w:pPr>
      <w:r w:rsidRPr="00C27C62">
        <w:rPr>
          <w:rFonts w:ascii="Times New Roman" w:hAnsi="Times New Roman" w:cs="Times New Roman"/>
          <w:b/>
          <w:sz w:val="24"/>
          <w:szCs w:val="24"/>
        </w:rPr>
        <w:t xml:space="preserve">Literature Review  </w:t>
      </w:r>
    </w:p>
    <w:p w14:paraId="3288FDFB" w14:textId="77777777" w:rsidR="002D6019" w:rsidRDefault="002D6019" w:rsidP="002D6019">
      <w:pPr>
        <w:spacing w:after="0" w:line="240" w:lineRule="auto"/>
        <w:ind w:firstLine="360"/>
        <w:rPr>
          <w:rFonts w:ascii="Times New Roman" w:hAnsi="Times New Roman" w:cs="Times New Roman"/>
          <w:sz w:val="24"/>
          <w:szCs w:val="24"/>
        </w:rPr>
      </w:pPr>
    </w:p>
    <w:p w14:paraId="0F42DB8D" w14:textId="4C12DEB9" w:rsidR="008A45D8" w:rsidRDefault="003736C1" w:rsidP="00DE128B">
      <w:pPr>
        <w:spacing w:after="0" w:line="36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Kisgen’s</w:t>
      </w:r>
      <w:proofErr w:type="spellEnd"/>
      <w:r>
        <w:rPr>
          <w:rFonts w:ascii="Times New Roman" w:hAnsi="Times New Roman" w:cs="Times New Roman"/>
          <w:sz w:val="24"/>
          <w:szCs w:val="24"/>
        </w:rPr>
        <w:t xml:space="preserve"> (2006) </w:t>
      </w:r>
      <w:r w:rsidR="00BB1192">
        <w:rPr>
          <w:rFonts w:ascii="Times New Roman" w:hAnsi="Times New Roman" w:cs="Times New Roman"/>
          <w:sz w:val="24"/>
          <w:szCs w:val="24"/>
        </w:rPr>
        <w:t xml:space="preserve">results </w:t>
      </w:r>
      <w:r w:rsidR="007D4C68">
        <w:rPr>
          <w:rFonts w:ascii="Times New Roman" w:hAnsi="Times New Roman" w:cs="Times New Roman"/>
          <w:sz w:val="24"/>
          <w:szCs w:val="24"/>
        </w:rPr>
        <w:t xml:space="preserve">are consistent with the findings of </w:t>
      </w:r>
      <w:r w:rsidR="008A45D8">
        <w:rPr>
          <w:rFonts w:ascii="Times New Roman" w:hAnsi="Times New Roman" w:cs="Times New Roman"/>
          <w:sz w:val="24"/>
          <w:szCs w:val="24"/>
        </w:rPr>
        <w:t>Graham and Harvey (2001)</w:t>
      </w:r>
      <w:r w:rsidR="00851CEC">
        <w:rPr>
          <w:rFonts w:ascii="Times New Roman" w:hAnsi="Times New Roman" w:cs="Times New Roman"/>
          <w:sz w:val="24"/>
          <w:szCs w:val="24"/>
        </w:rPr>
        <w:t>,</w:t>
      </w:r>
      <w:r w:rsidR="00BF1D16">
        <w:rPr>
          <w:rFonts w:ascii="Times New Roman" w:hAnsi="Times New Roman" w:cs="Times New Roman"/>
          <w:sz w:val="24"/>
          <w:szCs w:val="24"/>
        </w:rPr>
        <w:t xml:space="preserve"> who</w:t>
      </w:r>
      <w:r w:rsidR="007D4C68">
        <w:rPr>
          <w:rFonts w:ascii="Times New Roman" w:hAnsi="Times New Roman" w:cs="Times New Roman"/>
          <w:sz w:val="24"/>
          <w:szCs w:val="24"/>
        </w:rPr>
        <w:t xml:space="preserve"> note that </w:t>
      </w:r>
      <w:r w:rsidR="008A45D8">
        <w:rPr>
          <w:rFonts w:ascii="Times New Roman" w:hAnsi="Times New Roman" w:cs="Times New Roman"/>
          <w:sz w:val="24"/>
          <w:szCs w:val="24"/>
        </w:rPr>
        <w:t xml:space="preserve">financing flexibility and credit quality are extremely important to management and rank as the two most important concerns in capital structure decisions.  </w:t>
      </w:r>
      <w:proofErr w:type="spellStart"/>
      <w:r>
        <w:rPr>
          <w:rFonts w:ascii="Times New Roman" w:hAnsi="Times New Roman" w:cs="Times New Roman"/>
          <w:sz w:val="24"/>
          <w:szCs w:val="24"/>
        </w:rPr>
        <w:t>Kisgen</w:t>
      </w:r>
      <w:proofErr w:type="spellEnd"/>
      <w:r>
        <w:rPr>
          <w:rFonts w:ascii="Times New Roman" w:hAnsi="Times New Roman" w:cs="Times New Roman"/>
          <w:sz w:val="24"/>
          <w:szCs w:val="24"/>
        </w:rPr>
        <w:t xml:space="preserve"> </w:t>
      </w:r>
      <w:r w:rsidR="008A45D8">
        <w:rPr>
          <w:rFonts w:ascii="Times New Roman" w:hAnsi="Times New Roman" w:cs="Times New Roman"/>
          <w:sz w:val="24"/>
          <w:szCs w:val="24"/>
        </w:rPr>
        <w:t xml:space="preserve">provides greater detail </w:t>
      </w:r>
      <w:r w:rsidR="00314A60">
        <w:rPr>
          <w:rFonts w:ascii="Times New Roman" w:hAnsi="Times New Roman" w:cs="Times New Roman"/>
          <w:sz w:val="24"/>
          <w:szCs w:val="24"/>
        </w:rPr>
        <w:t>o</w:t>
      </w:r>
      <w:r w:rsidR="008A45D8">
        <w:rPr>
          <w:rFonts w:ascii="Times New Roman" w:hAnsi="Times New Roman" w:cs="Times New Roman"/>
          <w:sz w:val="24"/>
          <w:szCs w:val="24"/>
        </w:rPr>
        <w:t xml:space="preserve">n how credit rating concerns are related to capital structure decisions by showing that </w:t>
      </w:r>
      <w:r w:rsidR="006D151C">
        <w:rPr>
          <w:rFonts w:ascii="Times New Roman" w:hAnsi="Times New Roman" w:cs="Times New Roman"/>
          <w:sz w:val="24"/>
          <w:szCs w:val="24"/>
        </w:rPr>
        <w:t xml:space="preserve">notch rated </w:t>
      </w:r>
      <w:r w:rsidR="008A45D8">
        <w:rPr>
          <w:rFonts w:ascii="Times New Roman" w:hAnsi="Times New Roman" w:cs="Times New Roman"/>
          <w:sz w:val="24"/>
          <w:szCs w:val="24"/>
        </w:rPr>
        <w:t xml:space="preserve">firms issue relatively less debt </w:t>
      </w:r>
      <w:r w:rsidR="006D151C">
        <w:rPr>
          <w:rFonts w:ascii="Times New Roman" w:hAnsi="Times New Roman" w:cs="Times New Roman"/>
          <w:sz w:val="24"/>
          <w:szCs w:val="24"/>
        </w:rPr>
        <w:t xml:space="preserve">than non-notch rated firms.  </w:t>
      </w:r>
      <w:proofErr w:type="spellStart"/>
      <w:r w:rsidR="007C58C5">
        <w:rPr>
          <w:rFonts w:ascii="Times New Roman" w:hAnsi="Times New Roman" w:cs="Times New Roman"/>
          <w:color w:val="000000" w:themeColor="text1"/>
          <w:sz w:val="24"/>
          <w:szCs w:val="24"/>
        </w:rPr>
        <w:t>Kisgen</w:t>
      </w:r>
      <w:proofErr w:type="spellEnd"/>
      <w:r w:rsidR="008A45D8" w:rsidRPr="005D3E91">
        <w:rPr>
          <w:rFonts w:ascii="Times New Roman" w:hAnsi="Times New Roman" w:cs="Times New Roman"/>
          <w:color w:val="000000" w:themeColor="text1"/>
          <w:sz w:val="24"/>
          <w:szCs w:val="24"/>
        </w:rPr>
        <w:t xml:space="preserve"> concludes that these results reflect management’s belief that relatively less debt will </w:t>
      </w:r>
      <w:r w:rsidR="00E94575">
        <w:rPr>
          <w:rFonts w:ascii="Times New Roman" w:hAnsi="Times New Roman" w:cs="Times New Roman"/>
          <w:color w:val="000000" w:themeColor="text1"/>
          <w:sz w:val="24"/>
          <w:szCs w:val="24"/>
        </w:rPr>
        <w:t xml:space="preserve">help the firm to benefit through either increasing the probability of lower costs </w:t>
      </w:r>
      <w:r w:rsidR="00053EC8">
        <w:rPr>
          <w:rFonts w:ascii="Times New Roman" w:hAnsi="Times New Roman" w:cs="Times New Roman"/>
          <w:color w:val="000000" w:themeColor="text1"/>
          <w:sz w:val="24"/>
          <w:szCs w:val="24"/>
        </w:rPr>
        <w:t>associated with an</w:t>
      </w:r>
      <w:r w:rsidR="00E94575">
        <w:rPr>
          <w:rFonts w:ascii="Times New Roman" w:hAnsi="Times New Roman" w:cs="Times New Roman"/>
          <w:color w:val="000000" w:themeColor="text1"/>
          <w:sz w:val="24"/>
          <w:szCs w:val="24"/>
        </w:rPr>
        <w:t xml:space="preserve"> upgrade or decreasing the probability of higher costs </w:t>
      </w:r>
      <w:r w:rsidR="00053EC8">
        <w:rPr>
          <w:rFonts w:ascii="Times New Roman" w:hAnsi="Times New Roman" w:cs="Times New Roman"/>
          <w:color w:val="000000" w:themeColor="text1"/>
          <w:sz w:val="24"/>
          <w:szCs w:val="24"/>
        </w:rPr>
        <w:t xml:space="preserve">associated with </w:t>
      </w:r>
      <w:r w:rsidR="00E94575">
        <w:rPr>
          <w:rFonts w:ascii="Times New Roman" w:hAnsi="Times New Roman" w:cs="Times New Roman"/>
          <w:color w:val="000000" w:themeColor="text1"/>
          <w:sz w:val="24"/>
          <w:szCs w:val="24"/>
        </w:rPr>
        <w:t>a downgrade.</w:t>
      </w:r>
      <w:r w:rsidR="007C58C5">
        <w:rPr>
          <w:rFonts w:ascii="Times New Roman" w:hAnsi="Times New Roman" w:cs="Times New Roman"/>
          <w:color w:val="000000" w:themeColor="text1"/>
          <w:sz w:val="24"/>
          <w:szCs w:val="24"/>
        </w:rPr>
        <w:t xml:space="preserve">  </w:t>
      </w:r>
      <w:r w:rsidR="007C58C5">
        <w:rPr>
          <w:rFonts w:ascii="Times New Roman" w:hAnsi="Times New Roman" w:cs="Times New Roman"/>
          <w:sz w:val="24"/>
          <w:szCs w:val="24"/>
        </w:rPr>
        <w:t xml:space="preserve">Accordingly, ratings levels and changes in these levels will be of critical focus to management, particularly when factors such as mandatory investment limitations/requirements, access to capital markets, capital requirements, </w:t>
      </w:r>
      <w:r w:rsidR="007C58C5">
        <w:rPr>
          <w:rFonts w:ascii="Times New Roman" w:hAnsi="Times New Roman" w:cs="Times New Roman"/>
          <w:sz w:val="24"/>
          <w:szCs w:val="24"/>
        </w:rPr>
        <w:lastRenderedPageBreak/>
        <w:t>credit quality signals, bond coupon rates, contract acceptance/denial, and bond repurchasing decisions are considered relevant.</w:t>
      </w:r>
      <w:r w:rsidR="008A45D8" w:rsidRPr="005D3E91">
        <w:rPr>
          <w:rFonts w:ascii="Times New Roman" w:hAnsi="Times New Roman" w:cs="Times New Roman"/>
          <w:color w:val="000000" w:themeColor="text1"/>
          <w:sz w:val="24"/>
          <w:szCs w:val="24"/>
        </w:rPr>
        <w:t xml:space="preserve"> </w:t>
      </w:r>
    </w:p>
    <w:p w14:paraId="36956D08" w14:textId="60FEADF4" w:rsidR="008A45D8" w:rsidRDefault="008A45D8"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The importance of credit ratings in market performance has been a subject of debate.  </w:t>
      </w:r>
      <w:r w:rsidR="007C58C5">
        <w:rPr>
          <w:rFonts w:ascii="Times New Roman" w:hAnsi="Times New Roman" w:cs="Times New Roman"/>
          <w:sz w:val="24"/>
          <w:szCs w:val="24"/>
        </w:rPr>
        <w:t>S</w:t>
      </w:r>
      <w:r>
        <w:rPr>
          <w:rFonts w:ascii="Times New Roman" w:hAnsi="Times New Roman" w:cs="Times New Roman"/>
          <w:sz w:val="24"/>
          <w:szCs w:val="24"/>
        </w:rPr>
        <w:t xml:space="preserve">ome studies argue for credit rating relevance </w:t>
      </w:r>
      <w:r w:rsidR="007C58C5">
        <w:rPr>
          <w:rFonts w:ascii="Times New Roman" w:hAnsi="Times New Roman" w:cs="Times New Roman"/>
          <w:sz w:val="24"/>
          <w:szCs w:val="24"/>
        </w:rPr>
        <w:t>because</w:t>
      </w:r>
      <w:r>
        <w:rPr>
          <w:rFonts w:ascii="Times New Roman" w:hAnsi="Times New Roman" w:cs="Times New Roman"/>
          <w:sz w:val="24"/>
          <w:szCs w:val="24"/>
        </w:rPr>
        <w:t xml:space="preserve"> credit rating </w:t>
      </w:r>
      <w:r w:rsidR="009B37C3">
        <w:rPr>
          <w:rFonts w:ascii="Times New Roman" w:hAnsi="Times New Roman" w:cs="Times New Roman"/>
          <w:sz w:val="24"/>
          <w:szCs w:val="24"/>
        </w:rPr>
        <w:t xml:space="preserve">changes </w:t>
      </w:r>
      <w:r>
        <w:rPr>
          <w:rFonts w:ascii="Times New Roman" w:hAnsi="Times New Roman" w:cs="Times New Roman"/>
          <w:sz w:val="24"/>
          <w:szCs w:val="24"/>
        </w:rPr>
        <w:t xml:space="preserve">lead to </w:t>
      </w:r>
      <w:r w:rsidR="009B37C3">
        <w:rPr>
          <w:rFonts w:ascii="Times New Roman" w:hAnsi="Times New Roman" w:cs="Times New Roman"/>
          <w:sz w:val="24"/>
          <w:szCs w:val="24"/>
        </w:rPr>
        <w:t>corresponding</w:t>
      </w:r>
      <w:r w:rsidR="007C58C5">
        <w:rPr>
          <w:rFonts w:ascii="Times New Roman" w:hAnsi="Times New Roman" w:cs="Times New Roman"/>
          <w:sz w:val="24"/>
          <w:szCs w:val="24"/>
        </w:rPr>
        <w:t xml:space="preserve"> stock and bond price changes.  Also, </w:t>
      </w:r>
      <w:r w:rsidR="009B37C3">
        <w:rPr>
          <w:rFonts w:ascii="Times New Roman" w:hAnsi="Times New Roman" w:cs="Times New Roman"/>
          <w:sz w:val="24"/>
          <w:szCs w:val="24"/>
        </w:rPr>
        <w:t xml:space="preserve">credit ratings help to predict market yields and earnings forecasts </w:t>
      </w:r>
      <w:r>
        <w:rPr>
          <w:rFonts w:ascii="Times New Roman" w:hAnsi="Times New Roman" w:cs="Times New Roman"/>
          <w:sz w:val="24"/>
          <w:szCs w:val="24"/>
        </w:rPr>
        <w:t xml:space="preserve">(Hand, </w:t>
      </w:r>
      <w:proofErr w:type="spellStart"/>
      <w:r>
        <w:rPr>
          <w:rFonts w:ascii="Times New Roman" w:hAnsi="Times New Roman" w:cs="Times New Roman"/>
          <w:sz w:val="24"/>
          <w:szCs w:val="24"/>
        </w:rPr>
        <w:t>Holthausen</w:t>
      </w:r>
      <w:proofErr w:type="spellEnd"/>
      <w:r>
        <w:rPr>
          <w:rFonts w:ascii="Times New Roman" w:hAnsi="Times New Roman" w:cs="Times New Roman"/>
          <w:sz w:val="24"/>
          <w:szCs w:val="24"/>
        </w:rPr>
        <w:t xml:space="preserve">, and Leftwich (1992), </w:t>
      </w:r>
      <w:proofErr w:type="spellStart"/>
      <w:r>
        <w:rPr>
          <w:rFonts w:ascii="Times New Roman" w:hAnsi="Times New Roman" w:cs="Times New Roman"/>
          <w:sz w:val="24"/>
          <w:szCs w:val="24"/>
        </w:rPr>
        <w:t>Ederington</w:t>
      </w:r>
      <w:proofErr w:type="spellEnd"/>
      <w:r>
        <w:rPr>
          <w:rFonts w:ascii="Times New Roman" w:hAnsi="Times New Roman" w:cs="Times New Roman"/>
          <w:sz w:val="24"/>
          <w:szCs w:val="24"/>
        </w:rPr>
        <w:t xml:space="preserve"> and Goh (1998)</w:t>
      </w:r>
      <w:r w:rsidR="009B37C3">
        <w:rPr>
          <w:rFonts w:ascii="Times New Roman" w:hAnsi="Times New Roman" w:cs="Times New Roman"/>
          <w:sz w:val="24"/>
          <w:szCs w:val="24"/>
        </w:rPr>
        <w:t xml:space="preserve">, </w:t>
      </w:r>
      <w:proofErr w:type="spellStart"/>
      <w:r w:rsidR="00B0538B">
        <w:rPr>
          <w:rFonts w:ascii="Times New Roman" w:hAnsi="Times New Roman" w:cs="Times New Roman"/>
          <w:sz w:val="24"/>
          <w:szCs w:val="24"/>
        </w:rPr>
        <w:t>Ederington</w:t>
      </w:r>
      <w:proofErr w:type="spellEnd"/>
      <w:r w:rsidR="00B0538B">
        <w:rPr>
          <w:rFonts w:ascii="Times New Roman" w:hAnsi="Times New Roman" w:cs="Times New Roman"/>
          <w:sz w:val="24"/>
          <w:szCs w:val="24"/>
        </w:rPr>
        <w:t xml:space="preserve">, </w:t>
      </w:r>
      <w:proofErr w:type="spellStart"/>
      <w:r w:rsidR="00B0538B">
        <w:rPr>
          <w:rFonts w:ascii="Times New Roman" w:hAnsi="Times New Roman" w:cs="Times New Roman"/>
          <w:sz w:val="24"/>
          <w:szCs w:val="24"/>
        </w:rPr>
        <w:t>Yawitz</w:t>
      </w:r>
      <w:proofErr w:type="spellEnd"/>
      <w:r w:rsidR="00B0538B">
        <w:rPr>
          <w:rFonts w:ascii="Times New Roman" w:hAnsi="Times New Roman" w:cs="Times New Roman"/>
          <w:sz w:val="24"/>
          <w:szCs w:val="24"/>
        </w:rPr>
        <w:t xml:space="preserve">, and </w:t>
      </w:r>
      <w:r w:rsidR="009B37C3">
        <w:rPr>
          <w:rFonts w:ascii="Times New Roman" w:hAnsi="Times New Roman" w:cs="Times New Roman"/>
          <w:sz w:val="24"/>
          <w:szCs w:val="24"/>
        </w:rPr>
        <w:t>Roberts (1987) and West (1973)</w:t>
      </w:r>
      <w:r w:rsidR="007C58C5">
        <w:rPr>
          <w:rFonts w:ascii="Times New Roman" w:hAnsi="Times New Roman" w:cs="Times New Roman"/>
          <w:sz w:val="24"/>
          <w:szCs w:val="24"/>
        </w:rPr>
        <w:t>).  O</w:t>
      </w:r>
      <w:r>
        <w:rPr>
          <w:rFonts w:ascii="Times New Roman" w:hAnsi="Times New Roman" w:cs="Times New Roman"/>
          <w:sz w:val="24"/>
          <w:szCs w:val="24"/>
        </w:rPr>
        <w:t xml:space="preserve">ther studies argue that credit rating levels and changes in these levels do not provide useful information to the market for two reasons.  First, stock, credit default swap, and currency markets process and report information in a </w:t>
      </w:r>
      <w:proofErr w:type="gramStart"/>
      <w:r>
        <w:rPr>
          <w:rFonts w:ascii="Times New Roman" w:hAnsi="Times New Roman" w:cs="Times New Roman"/>
          <w:sz w:val="24"/>
          <w:szCs w:val="24"/>
        </w:rPr>
        <w:t>more timely</w:t>
      </w:r>
      <w:proofErr w:type="gramEnd"/>
      <w:r>
        <w:rPr>
          <w:rFonts w:ascii="Times New Roman" w:hAnsi="Times New Roman" w:cs="Times New Roman"/>
          <w:sz w:val="24"/>
          <w:szCs w:val="24"/>
        </w:rPr>
        <w:t xml:space="preserve"> manner than </w:t>
      </w:r>
      <w:r w:rsidR="005D1B69">
        <w:rPr>
          <w:rFonts w:ascii="Times New Roman" w:hAnsi="Times New Roman" w:cs="Times New Roman"/>
          <w:sz w:val="24"/>
          <w:szCs w:val="24"/>
        </w:rPr>
        <w:t>credit rating agencies (</w:t>
      </w:r>
      <w:r>
        <w:rPr>
          <w:rFonts w:ascii="Times New Roman" w:hAnsi="Times New Roman" w:cs="Times New Roman"/>
          <w:sz w:val="24"/>
          <w:szCs w:val="24"/>
        </w:rPr>
        <w:t>CRAs</w:t>
      </w:r>
      <w:r w:rsidR="005D1B69">
        <w:rPr>
          <w:rFonts w:ascii="Times New Roman" w:hAnsi="Times New Roman" w:cs="Times New Roman"/>
          <w:sz w:val="24"/>
          <w:szCs w:val="24"/>
        </w:rPr>
        <w:t>)</w:t>
      </w:r>
      <w:r w:rsidR="007C58C5">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3B19DE">
        <w:rPr>
          <w:rFonts w:ascii="Times New Roman" w:hAnsi="Times New Roman" w:cs="Times New Roman"/>
          <w:color w:val="000000" w:themeColor="text1"/>
          <w:sz w:val="24"/>
          <w:szCs w:val="24"/>
        </w:rPr>
        <w:t>Holthausen</w:t>
      </w:r>
      <w:proofErr w:type="spellEnd"/>
      <w:r w:rsidRPr="003B19DE">
        <w:rPr>
          <w:rFonts w:ascii="Times New Roman" w:hAnsi="Times New Roman" w:cs="Times New Roman"/>
          <w:color w:val="000000" w:themeColor="text1"/>
          <w:sz w:val="24"/>
          <w:szCs w:val="24"/>
        </w:rPr>
        <w:t xml:space="preserve"> and Leftwich (1986)</w:t>
      </w:r>
      <w:r>
        <w:rPr>
          <w:rFonts w:ascii="Times New Roman" w:hAnsi="Times New Roman" w:cs="Times New Roman"/>
          <w:sz w:val="24"/>
          <w:szCs w:val="24"/>
        </w:rPr>
        <w:t xml:space="preserve">, Reinhart (2002), Hull, </w:t>
      </w:r>
      <w:proofErr w:type="spellStart"/>
      <w:r>
        <w:rPr>
          <w:rFonts w:ascii="Times New Roman" w:hAnsi="Times New Roman" w:cs="Times New Roman"/>
          <w:sz w:val="24"/>
          <w:szCs w:val="24"/>
        </w:rPr>
        <w:t>Predescu</w:t>
      </w:r>
      <w:proofErr w:type="spellEnd"/>
      <w:r>
        <w:rPr>
          <w:rFonts w:ascii="Times New Roman" w:hAnsi="Times New Roman" w:cs="Times New Roman"/>
          <w:sz w:val="24"/>
          <w:szCs w:val="24"/>
        </w:rPr>
        <w:t xml:space="preserve"> and White (2004), Norden and Weber (2004), and Sy (2004)). </w:t>
      </w:r>
      <w:r w:rsidR="000F59C2">
        <w:rPr>
          <w:rFonts w:ascii="Times New Roman" w:hAnsi="Times New Roman" w:cs="Times New Roman"/>
          <w:sz w:val="24"/>
          <w:szCs w:val="24"/>
        </w:rPr>
        <w:t xml:space="preserve"> S</w:t>
      </w:r>
      <w:r>
        <w:rPr>
          <w:rFonts w:ascii="Times New Roman" w:hAnsi="Times New Roman" w:cs="Times New Roman"/>
          <w:sz w:val="24"/>
          <w:szCs w:val="24"/>
        </w:rPr>
        <w:t xml:space="preserve">econd, there are institutional impediments to timely and accurate reporting by CRAs such as their inability to access timely information, inadequate methodologies, and a preference for stable and accurate ratings </w:t>
      </w:r>
      <w:r w:rsidRPr="00023C17">
        <w:rPr>
          <w:rFonts w:ascii="Times New Roman" w:hAnsi="Times New Roman" w:cs="Times New Roman"/>
          <w:color w:val="000000" w:themeColor="text1"/>
          <w:sz w:val="24"/>
          <w:szCs w:val="24"/>
        </w:rPr>
        <w:t xml:space="preserve">(Goldstein, Kaminsky, and Reinhart (2000), Cheng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Neamtiu</w:t>
      </w:r>
      <w:proofErr w:type="spellEnd"/>
      <w:r>
        <w:rPr>
          <w:rFonts w:ascii="Times New Roman" w:hAnsi="Times New Roman" w:cs="Times New Roman"/>
          <w:sz w:val="24"/>
          <w:szCs w:val="24"/>
        </w:rPr>
        <w:t xml:space="preserve"> (2009), and Gu, </w:t>
      </w:r>
      <w:proofErr w:type="gramStart"/>
      <w:r>
        <w:rPr>
          <w:rFonts w:ascii="Times New Roman" w:hAnsi="Times New Roman" w:cs="Times New Roman"/>
          <w:sz w:val="24"/>
          <w:szCs w:val="24"/>
        </w:rPr>
        <w:t>Jones</w:t>
      </w:r>
      <w:proofErr w:type="gramEnd"/>
      <w:r>
        <w:rPr>
          <w:rFonts w:ascii="Times New Roman" w:hAnsi="Times New Roman" w:cs="Times New Roman"/>
          <w:sz w:val="24"/>
          <w:szCs w:val="24"/>
        </w:rPr>
        <w:t xml:space="preserve"> and Liu (2014)).  </w:t>
      </w:r>
      <w:r w:rsidR="00A90CFF">
        <w:rPr>
          <w:rFonts w:ascii="Times New Roman" w:hAnsi="Times New Roman" w:cs="Times New Roman"/>
          <w:sz w:val="24"/>
          <w:szCs w:val="24"/>
        </w:rPr>
        <w:t>Therefore</w:t>
      </w:r>
      <w:r>
        <w:rPr>
          <w:rFonts w:ascii="Times New Roman" w:hAnsi="Times New Roman" w:cs="Times New Roman"/>
          <w:sz w:val="24"/>
          <w:szCs w:val="24"/>
        </w:rPr>
        <w:t xml:space="preserve">, ratings levels and the occasional change in these levels are </w:t>
      </w:r>
      <w:r w:rsidR="005854CE">
        <w:rPr>
          <w:rFonts w:ascii="Times New Roman" w:hAnsi="Times New Roman" w:cs="Times New Roman"/>
          <w:sz w:val="24"/>
          <w:szCs w:val="24"/>
        </w:rPr>
        <w:t xml:space="preserve">at </w:t>
      </w:r>
      <w:r>
        <w:rPr>
          <w:rFonts w:ascii="Times New Roman" w:hAnsi="Times New Roman" w:cs="Times New Roman"/>
          <w:sz w:val="24"/>
          <w:szCs w:val="24"/>
        </w:rPr>
        <w:t xml:space="preserve">best considered </w:t>
      </w:r>
      <w:r w:rsidR="00A90CFF">
        <w:rPr>
          <w:rFonts w:ascii="Times New Roman" w:hAnsi="Times New Roman" w:cs="Times New Roman"/>
          <w:sz w:val="24"/>
          <w:szCs w:val="24"/>
        </w:rPr>
        <w:t>to reflect untimely</w:t>
      </w:r>
      <w:r>
        <w:rPr>
          <w:rFonts w:ascii="Times New Roman" w:hAnsi="Times New Roman" w:cs="Times New Roman"/>
          <w:sz w:val="24"/>
          <w:szCs w:val="24"/>
        </w:rPr>
        <w:t xml:space="preserve"> stable long-term credit risk exposures that slowly and occasionally shift </w:t>
      </w:r>
      <w:r w:rsidR="007F1355">
        <w:rPr>
          <w:rFonts w:ascii="Times New Roman" w:hAnsi="Times New Roman" w:cs="Times New Roman"/>
          <w:sz w:val="24"/>
          <w:szCs w:val="24"/>
        </w:rPr>
        <w:t xml:space="preserve">through time </w:t>
      </w:r>
      <w:r>
        <w:rPr>
          <w:rFonts w:ascii="Times New Roman" w:hAnsi="Times New Roman" w:cs="Times New Roman"/>
          <w:sz w:val="24"/>
          <w:szCs w:val="24"/>
        </w:rPr>
        <w:t xml:space="preserve">(Cantor (2001), Altman and </w:t>
      </w:r>
      <w:proofErr w:type="spellStart"/>
      <w:r>
        <w:rPr>
          <w:rFonts w:ascii="Times New Roman" w:hAnsi="Times New Roman" w:cs="Times New Roman"/>
          <w:sz w:val="24"/>
          <w:szCs w:val="24"/>
        </w:rPr>
        <w:t>Rijken</w:t>
      </w:r>
      <w:proofErr w:type="spellEnd"/>
      <w:r>
        <w:rPr>
          <w:rFonts w:ascii="Times New Roman" w:hAnsi="Times New Roman" w:cs="Times New Roman"/>
          <w:sz w:val="24"/>
          <w:szCs w:val="24"/>
        </w:rPr>
        <w:t xml:space="preserve"> (2004), Cantor and Mann (2007)).  </w:t>
      </w:r>
    </w:p>
    <w:p w14:paraId="203796FC" w14:textId="7006FCFF" w:rsidR="00DF658D" w:rsidRDefault="008A45D8"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Sensitive to criticisms</w:t>
      </w:r>
      <w:r w:rsidR="00A21E80">
        <w:rPr>
          <w:rFonts w:ascii="Times New Roman" w:hAnsi="Times New Roman" w:cs="Times New Roman"/>
          <w:sz w:val="24"/>
          <w:szCs w:val="24"/>
        </w:rPr>
        <w:t xml:space="preserve"> on timeliness</w:t>
      </w:r>
      <w:r>
        <w:rPr>
          <w:rFonts w:ascii="Times New Roman" w:hAnsi="Times New Roman" w:cs="Times New Roman"/>
          <w:sz w:val="24"/>
          <w:szCs w:val="24"/>
        </w:rPr>
        <w:t xml:space="preserve">, Standard and Poor’s (S&amp;P) adopted the CreditWatch (CW) </w:t>
      </w:r>
      <w:r w:rsidR="00796629">
        <w:rPr>
          <w:rFonts w:ascii="Times New Roman" w:hAnsi="Times New Roman" w:cs="Times New Roman"/>
          <w:sz w:val="24"/>
          <w:szCs w:val="24"/>
        </w:rPr>
        <w:t>placement</w:t>
      </w:r>
      <w:r>
        <w:rPr>
          <w:rFonts w:ascii="Times New Roman" w:hAnsi="Times New Roman" w:cs="Times New Roman"/>
          <w:sz w:val="24"/>
          <w:szCs w:val="24"/>
        </w:rPr>
        <w:t xml:space="preserve"> service in November 1981, </w:t>
      </w:r>
      <w:proofErr w:type="gramStart"/>
      <w:r>
        <w:rPr>
          <w:rFonts w:ascii="Times New Roman" w:hAnsi="Times New Roman" w:cs="Times New Roman"/>
          <w:sz w:val="24"/>
          <w:szCs w:val="24"/>
        </w:rPr>
        <w:t>in an effort to</w:t>
      </w:r>
      <w:proofErr w:type="gramEnd"/>
      <w:r>
        <w:rPr>
          <w:rFonts w:ascii="Times New Roman" w:hAnsi="Times New Roman" w:cs="Times New Roman"/>
          <w:sz w:val="24"/>
          <w:szCs w:val="24"/>
        </w:rPr>
        <w:t xml:space="preserve"> provide more timely assessments of firms</w:t>
      </w:r>
      <w:r w:rsidR="005F28D5">
        <w:rPr>
          <w:rFonts w:ascii="Times New Roman" w:hAnsi="Times New Roman" w:cs="Times New Roman"/>
          <w:sz w:val="24"/>
          <w:szCs w:val="24"/>
        </w:rPr>
        <w:t>’</w:t>
      </w:r>
      <w:r>
        <w:rPr>
          <w:rFonts w:ascii="Times New Roman" w:hAnsi="Times New Roman" w:cs="Times New Roman"/>
          <w:sz w:val="24"/>
          <w:szCs w:val="24"/>
        </w:rPr>
        <w:t xml:space="preserve"> </w:t>
      </w:r>
      <w:r w:rsidR="005F28D5">
        <w:rPr>
          <w:rFonts w:ascii="Times New Roman" w:hAnsi="Times New Roman" w:cs="Times New Roman"/>
          <w:sz w:val="24"/>
          <w:szCs w:val="24"/>
        </w:rPr>
        <w:t xml:space="preserve">credit </w:t>
      </w:r>
      <w:r>
        <w:rPr>
          <w:rFonts w:ascii="Times New Roman" w:hAnsi="Times New Roman" w:cs="Times New Roman"/>
          <w:sz w:val="24"/>
          <w:szCs w:val="24"/>
        </w:rPr>
        <w:t>risk position</w:t>
      </w:r>
      <w:r w:rsidR="005F28D5">
        <w:rPr>
          <w:rFonts w:ascii="Times New Roman" w:hAnsi="Times New Roman" w:cs="Times New Roman"/>
          <w:sz w:val="24"/>
          <w:szCs w:val="24"/>
        </w:rPr>
        <w:t>s</w:t>
      </w:r>
      <w:r>
        <w:rPr>
          <w:rFonts w:ascii="Times New Roman" w:hAnsi="Times New Roman" w:cs="Times New Roman"/>
          <w:sz w:val="24"/>
          <w:szCs w:val="24"/>
        </w:rPr>
        <w:t xml:space="preserve">.  </w:t>
      </w:r>
      <w:r w:rsidR="006D690D">
        <w:rPr>
          <w:rFonts w:ascii="Times New Roman" w:hAnsi="Times New Roman" w:cs="Times New Roman"/>
          <w:sz w:val="24"/>
          <w:szCs w:val="24"/>
        </w:rPr>
        <w:t xml:space="preserve">According to </w:t>
      </w:r>
      <w:r w:rsidR="00E06084">
        <w:rPr>
          <w:rFonts w:ascii="Times New Roman" w:hAnsi="Times New Roman" w:cs="Times New Roman"/>
          <w:sz w:val="24"/>
          <w:szCs w:val="24"/>
        </w:rPr>
        <w:t xml:space="preserve">an explanation of </w:t>
      </w:r>
      <w:r w:rsidR="00E06084" w:rsidRPr="00BE0CF7">
        <w:rPr>
          <w:rFonts w:ascii="Times New Roman" w:hAnsi="Times New Roman" w:cs="Times New Roman"/>
          <w:sz w:val="24"/>
          <w:szCs w:val="24"/>
        </w:rPr>
        <w:t xml:space="preserve">the rating process </w:t>
      </w:r>
      <w:r w:rsidR="00E06084">
        <w:rPr>
          <w:rFonts w:ascii="Times New Roman" w:hAnsi="Times New Roman" w:cs="Times New Roman"/>
          <w:sz w:val="24"/>
          <w:szCs w:val="24"/>
        </w:rPr>
        <w:t xml:space="preserve">provided by </w:t>
      </w:r>
      <w:r w:rsidR="00E06084" w:rsidRPr="00BE0CF7">
        <w:rPr>
          <w:rFonts w:ascii="Times New Roman" w:hAnsi="Times New Roman" w:cs="Times New Roman"/>
          <w:sz w:val="24"/>
          <w:szCs w:val="24"/>
        </w:rPr>
        <w:t>S&amp;P,</w:t>
      </w:r>
      <w:r w:rsidR="00E06084">
        <w:rPr>
          <w:rFonts w:ascii="Times New Roman" w:hAnsi="Times New Roman" w:cs="Times New Roman"/>
          <w:sz w:val="24"/>
          <w:szCs w:val="24"/>
        </w:rPr>
        <w:t xml:space="preserve"> </w:t>
      </w:r>
      <w:r w:rsidR="0016631A">
        <w:rPr>
          <w:rFonts w:ascii="Times New Roman" w:hAnsi="Times New Roman" w:cs="Times New Roman"/>
          <w:sz w:val="24"/>
          <w:szCs w:val="24"/>
        </w:rPr>
        <w:t>CW announcements</w:t>
      </w:r>
      <w:r w:rsidR="00E06084">
        <w:rPr>
          <w:rFonts w:ascii="Times New Roman" w:hAnsi="Times New Roman" w:cs="Times New Roman"/>
          <w:sz w:val="24"/>
          <w:szCs w:val="24"/>
        </w:rPr>
        <w:t xml:space="preserve"> reflect an increased probability, as evidenced by at least 50 percent likelihood by CreditWatch analysts, to either upgrade or downgrade within 90 days</w:t>
      </w:r>
      <w:r w:rsidR="00656F8A">
        <w:rPr>
          <w:rFonts w:ascii="Times New Roman" w:hAnsi="Times New Roman" w:cs="Times New Roman"/>
          <w:sz w:val="24"/>
          <w:szCs w:val="24"/>
        </w:rPr>
        <w:t xml:space="preserve"> </w:t>
      </w:r>
      <w:r w:rsidR="00E06084">
        <w:rPr>
          <w:rFonts w:ascii="Times New Roman" w:hAnsi="Times New Roman" w:cs="Times New Roman"/>
          <w:sz w:val="24"/>
          <w:szCs w:val="24"/>
        </w:rPr>
        <w:t xml:space="preserve">based on assessments of </w:t>
      </w:r>
      <w:r w:rsidR="005F28D5">
        <w:rPr>
          <w:rFonts w:ascii="Times New Roman" w:hAnsi="Times New Roman" w:cs="Times New Roman"/>
          <w:sz w:val="24"/>
          <w:szCs w:val="24"/>
        </w:rPr>
        <w:t>p</w:t>
      </w:r>
      <w:r w:rsidR="00E06084">
        <w:rPr>
          <w:rFonts w:ascii="Times New Roman" w:hAnsi="Times New Roman" w:cs="Times New Roman"/>
          <w:sz w:val="24"/>
          <w:szCs w:val="24"/>
        </w:rPr>
        <w:t>ast, current, and anticipated firm actions and market conditions.</w:t>
      </w:r>
      <w:r w:rsidR="00E92309">
        <w:rPr>
          <w:rStyle w:val="FootnoteReference"/>
          <w:rFonts w:ascii="Times New Roman" w:hAnsi="Times New Roman" w:cs="Times New Roman"/>
          <w:sz w:val="24"/>
          <w:szCs w:val="24"/>
        </w:rPr>
        <w:footnoteReference w:id="1"/>
      </w:r>
      <w:r w:rsidR="00E06084">
        <w:rPr>
          <w:rFonts w:ascii="Times New Roman" w:hAnsi="Times New Roman" w:cs="Times New Roman"/>
          <w:sz w:val="24"/>
          <w:szCs w:val="24"/>
        </w:rPr>
        <w:t xml:space="preserve">  </w:t>
      </w:r>
      <w:r w:rsidR="007A77F7">
        <w:rPr>
          <w:rFonts w:ascii="Times New Roman" w:hAnsi="Times New Roman" w:cs="Times New Roman"/>
          <w:sz w:val="24"/>
          <w:szCs w:val="24"/>
        </w:rPr>
        <w:t>While S&amp;P</w:t>
      </w:r>
      <w:r w:rsidR="00074002">
        <w:rPr>
          <w:rFonts w:ascii="Times New Roman" w:hAnsi="Times New Roman" w:cs="Times New Roman"/>
          <w:sz w:val="24"/>
          <w:szCs w:val="24"/>
        </w:rPr>
        <w:t xml:space="preserve"> often </w:t>
      </w:r>
      <w:r w:rsidR="007A77F7">
        <w:rPr>
          <w:rFonts w:ascii="Times New Roman" w:hAnsi="Times New Roman" w:cs="Times New Roman"/>
          <w:sz w:val="24"/>
          <w:szCs w:val="24"/>
        </w:rPr>
        <w:t>upgrade</w:t>
      </w:r>
      <w:r w:rsidR="00074002">
        <w:rPr>
          <w:rFonts w:ascii="Times New Roman" w:hAnsi="Times New Roman" w:cs="Times New Roman"/>
          <w:sz w:val="24"/>
          <w:szCs w:val="24"/>
        </w:rPr>
        <w:t>s</w:t>
      </w:r>
      <w:r w:rsidR="007A77F7">
        <w:rPr>
          <w:rFonts w:ascii="Times New Roman" w:hAnsi="Times New Roman" w:cs="Times New Roman"/>
          <w:sz w:val="24"/>
          <w:szCs w:val="24"/>
        </w:rPr>
        <w:t xml:space="preserve"> or downgrade</w:t>
      </w:r>
      <w:r w:rsidR="00074002">
        <w:rPr>
          <w:rFonts w:ascii="Times New Roman" w:hAnsi="Times New Roman" w:cs="Times New Roman"/>
          <w:sz w:val="24"/>
          <w:szCs w:val="24"/>
        </w:rPr>
        <w:t>s</w:t>
      </w:r>
      <w:r w:rsidR="007A77F7">
        <w:rPr>
          <w:rFonts w:ascii="Times New Roman" w:hAnsi="Times New Roman" w:cs="Times New Roman"/>
          <w:sz w:val="24"/>
          <w:szCs w:val="24"/>
        </w:rPr>
        <w:t xml:space="preserve"> with no CW </w:t>
      </w:r>
      <w:r w:rsidR="00796629">
        <w:rPr>
          <w:rFonts w:ascii="Times New Roman" w:hAnsi="Times New Roman" w:cs="Times New Roman"/>
          <w:sz w:val="24"/>
          <w:szCs w:val="24"/>
        </w:rPr>
        <w:t>placement</w:t>
      </w:r>
      <w:r w:rsidR="007A77F7">
        <w:rPr>
          <w:rFonts w:ascii="Times New Roman" w:hAnsi="Times New Roman" w:cs="Times New Roman"/>
          <w:sz w:val="24"/>
          <w:szCs w:val="24"/>
        </w:rPr>
        <w:t xml:space="preserve"> warning, </w:t>
      </w:r>
      <w:r w:rsidR="00074002">
        <w:rPr>
          <w:rFonts w:ascii="Times New Roman" w:hAnsi="Times New Roman" w:cs="Times New Roman"/>
          <w:sz w:val="24"/>
          <w:szCs w:val="24"/>
        </w:rPr>
        <w:t xml:space="preserve">cases where </w:t>
      </w:r>
      <w:r w:rsidR="0016631A">
        <w:rPr>
          <w:rFonts w:ascii="Times New Roman" w:hAnsi="Times New Roman" w:cs="Times New Roman"/>
          <w:sz w:val="24"/>
          <w:szCs w:val="24"/>
        </w:rPr>
        <w:t>CW announcements</w:t>
      </w:r>
      <w:r w:rsidR="00074002">
        <w:rPr>
          <w:rFonts w:ascii="Times New Roman" w:hAnsi="Times New Roman" w:cs="Times New Roman"/>
          <w:sz w:val="24"/>
          <w:szCs w:val="24"/>
        </w:rPr>
        <w:t xml:space="preserve"> occur </w:t>
      </w:r>
      <w:r w:rsidR="007A77F7">
        <w:rPr>
          <w:rFonts w:ascii="Times New Roman" w:hAnsi="Times New Roman" w:cs="Times New Roman"/>
          <w:sz w:val="24"/>
          <w:szCs w:val="24"/>
        </w:rPr>
        <w:t xml:space="preserve">are accompanied by the reason(s) for the likely change.  Short-term trends and identifiable events usually related to corporate restructurings, operating performance, voter referendums, regulatory action, and security underperformance help to bring about increased focus by </w:t>
      </w:r>
      <w:r w:rsidR="00FA1791">
        <w:rPr>
          <w:rFonts w:ascii="Times New Roman" w:hAnsi="Times New Roman" w:cs="Times New Roman"/>
          <w:sz w:val="24"/>
          <w:szCs w:val="24"/>
        </w:rPr>
        <w:t xml:space="preserve">S&amp;P </w:t>
      </w:r>
      <w:r w:rsidR="007A77F7">
        <w:rPr>
          <w:rFonts w:ascii="Times New Roman" w:hAnsi="Times New Roman" w:cs="Times New Roman"/>
          <w:sz w:val="24"/>
          <w:szCs w:val="24"/>
        </w:rPr>
        <w:t xml:space="preserve">that </w:t>
      </w:r>
      <w:proofErr w:type="gramStart"/>
      <w:r w:rsidR="007A77F7">
        <w:rPr>
          <w:rFonts w:ascii="Times New Roman" w:hAnsi="Times New Roman" w:cs="Times New Roman"/>
          <w:sz w:val="24"/>
          <w:szCs w:val="24"/>
        </w:rPr>
        <w:t>lead</w:t>
      </w:r>
      <w:proofErr w:type="gramEnd"/>
      <w:r w:rsidR="007A77F7">
        <w:rPr>
          <w:rFonts w:ascii="Times New Roman" w:hAnsi="Times New Roman" w:cs="Times New Roman"/>
          <w:sz w:val="24"/>
          <w:szCs w:val="24"/>
        </w:rPr>
        <w:t xml:space="preserve"> to </w:t>
      </w:r>
      <w:r w:rsidR="0016631A">
        <w:rPr>
          <w:rFonts w:ascii="Times New Roman" w:hAnsi="Times New Roman" w:cs="Times New Roman"/>
          <w:sz w:val="24"/>
          <w:szCs w:val="24"/>
        </w:rPr>
        <w:t>CW announcements</w:t>
      </w:r>
      <w:r w:rsidR="007A77F7">
        <w:rPr>
          <w:rFonts w:ascii="Times New Roman" w:hAnsi="Times New Roman" w:cs="Times New Roman"/>
          <w:sz w:val="24"/>
          <w:szCs w:val="24"/>
        </w:rPr>
        <w:t xml:space="preserve">.  </w:t>
      </w:r>
    </w:p>
    <w:p w14:paraId="5815175D" w14:textId="4BA74C89" w:rsidR="006F7E2A" w:rsidRDefault="007A77F7" w:rsidP="00DE128B">
      <w:pPr>
        <w:spacing w:after="0" w:line="360" w:lineRule="auto"/>
        <w:ind w:firstLine="360"/>
        <w:rPr>
          <w:rFonts w:ascii="Times New Roman" w:hAnsi="Times New Roman" w:cs="Times New Roman"/>
          <w:sz w:val="24"/>
          <w:szCs w:val="24"/>
        </w:rPr>
      </w:pPr>
      <w:proofErr w:type="spellStart"/>
      <w:r w:rsidRPr="00EB01A0">
        <w:rPr>
          <w:rFonts w:ascii="Times New Roman" w:hAnsi="Times New Roman" w:cs="Times New Roman"/>
          <w:sz w:val="24"/>
          <w:szCs w:val="24"/>
        </w:rPr>
        <w:lastRenderedPageBreak/>
        <w:t>Vazza</w:t>
      </w:r>
      <w:proofErr w:type="spellEnd"/>
      <w:r w:rsidRPr="00EB01A0">
        <w:rPr>
          <w:rFonts w:ascii="Times New Roman" w:hAnsi="Times New Roman" w:cs="Times New Roman"/>
          <w:sz w:val="24"/>
          <w:szCs w:val="24"/>
        </w:rPr>
        <w:t xml:space="preserve">, Kraemer, and </w:t>
      </w:r>
      <w:proofErr w:type="spellStart"/>
      <w:r w:rsidRPr="00EB01A0">
        <w:rPr>
          <w:rFonts w:ascii="Times New Roman" w:hAnsi="Times New Roman" w:cs="Times New Roman"/>
          <w:sz w:val="24"/>
          <w:szCs w:val="24"/>
        </w:rPr>
        <w:t>Ontko</w:t>
      </w:r>
      <w:proofErr w:type="spellEnd"/>
      <w:r w:rsidRPr="00EB01A0">
        <w:rPr>
          <w:rFonts w:ascii="Times New Roman" w:hAnsi="Times New Roman" w:cs="Times New Roman"/>
          <w:sz w:val="24"/>
          <w:szCs w:val="24"/>
        </w:rPr>
        <w:t xml:space="preserve"> (2016) </w:t>
      </w:r>
      <w:r>
        <w:rPr>
          <w:rFonts w:ascii="Times New Roman" w:hAnsi="Times New Roman" w:cs="Times New Roman"/>
          <w:sz w:val="24"/>
          <w:szCs w:val="24"/>
        </w:rPr>
        <w:t xml:space="preserve">report that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leading to a consistent rating change ha</w:t>
      </w:r>
      <w:r w:rsidR="005C7ACB">
        <w:rPr>
          <w:rFonts w:ascii="Times New Roman" w:hAnsi="Times New Roman" w:cs="Times New Roman"/>
          <w:sz w:val="24"/>
          <w:szCs w:val="24"/>
        </w:rPr>
        <w:t>ve</w:t>
      </w:r>
      <w:r>
        <w:rPr>
          <w:rFonts w:ascii="Times New Roman" w:hAnsi="Times New Roman" w:cs="Times New Roman"/>
          <w:sz w:val="24"/>
          <w:szCs w:val="24"/>
        </w:rPr>
        <w:t xml:space="preserve"> increased over time.  </w:t>
      </w:r>
      <w:r w:rsidR="00012B17">
        <w:rPr>
          <w:rFonts w:ascii="Times New Roman" w:hAnsi="Times New Roman" w:cs="Times New Roman"/>
          <w:sz w:val="24"/>
          <w:szCs w:val="24"/>
        </w:rPr>
        <w:t xml:space="preserve">Further, they find that </w:t>
      </w:r>
      <w:r>
        <w:rPr>
          <w:rFonts w:ascii="Times New Roman" w:hAnsi="Times New Roman" w:cs="Times New Roman"/>
          <w:sz w:val="24"/>
          <w:szCs w:val="24"/>
        </w:rPr>
        <w:t xml:space="preserve">positive </w:t>
      </w:r>
      <w:r w:rsidR="000E182E">
        <w:rPr>
          <w:rFonts w:ascii="Times New Roman" w:hAnsi="Times New Roman" w:cs="Times New Roman"/>
          <w:sz w:val="24"/>
          <w:szCs w:val="24"/>
        </w:rPr>
        <w:t xml:space="preserve">(negative)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lead to upgrades </w:t>
      </w:r>
      <w:r w:rsidR="000E182E">
        <w:rPr>
          <w:rFonts w:ascii="Times New Roman" w:hAnsi="Times New Roman" w:cs="Times New Roman"/>
          <w:sz w:val="24"/>
          <w:szCs w:val="24"/>
        </w:rPr>
        <w:t xml:space="preserve">(downgrades) </w:t>
      </w:r>
      <w:r>
        <w:rPr>
          <w:rFonts w:ascii="Times New Roman" w:hAnsi="Times New Roman" w:cs="Times New Roman"/>
          <w:sz w:val="24"/>
          <w:szCs w:val="24"/>
        </w:rPr>
        <w:t>6</w:t>
      </w:r>
      <w:r w:rsidR="000411FA">
        <w:rPr>
          <w:rFonts w:ascii="Times New Roman" w:hAnsi="Times New Roman" w:cs="Times New Roman"/>
          <w:sz w:val="24"/>
          <w:szCs w:val="24"/>
        </w:rPr>
        <w:t>6.65</w:t>
      </w:r>
      <w:r>
        <w:rPr>
          <w:rFonts w:ascii="Times New Roman" w:hAnsi="Times New Roman" w:cs="Times New Roman"/>
          <w:sz w:val="24"/>
          <w:szCs w:val="24"/>
        </w:rPr>
        <w:t xml:space="preserve"> </w:t>
      </w:r>
      <w:r w:rsidR="000E182E">
        <w:rPr>
          <w:rFonts w:ascii="Times New Roman" w:hAnsi="Times New Roman" w:cs="Times New Roman"/>
          <w:sz w:val="24"/>
          <w:szCs w:val="24"/>
        </w:rPr>
        <w:t>(5</w:t>
      </w:r>
      <w:r w:rsidR="000411FA">
        <w:rPr>
          <w:rFonts w:ascii="Times New Roman" w:hAnsi="Times New Roman" w:cs="Times New Roman"/>
          <w:sz w:val="24"/>
          <w:szCs w:val="24"/>
        </w:rPr>
        <w:t>9.46</w:t>
      </w:r>
      <w:r w:rsidR="000E182E">
        <w:rPr>
          <w:rFonts w:ascii="Times New Roman" w:hAnsi="Times New Roman" w:cs="Times New Roman"/>
          <w:sz w:val="24"/>
          <w:szCs w:val="24"/>
        </w:rPr>
        <w:t xml:space="preserve">) </w:t>
      </w:r>
      <w:r>
        <w:rPr>
          <w:rFonts w:ascii="Times New Roman" w:hAnsi="Times New Roman" w:cs="Times New Roman"/>
          <w:sz w:val="24"/>
          <w:szCs w:val="24"/>
        </w:rPr>
        <w:t xml:space="preserve">percent of </w:t>
      </w:r>
      <w:r w:rsidR="000E182E">
        <w:rPr>
          <w:rFonts w:ascii="Times New Roman" w:hAnsi="Times New Roman" w:cs="Times New Roman"/>
          <w:sz w:val="24"/>
          <w:szCs w:val="24"/>
        </w:rPr>
        <w:t>the time</w:t>
      </w:r>
      <w:r w:rsidR="00012B17">
        <w:rPr>
          <w:rFonts w:ascii="Times New Roman" w:hAnsi="Times New Roman" w:cs="Times New Roman"/>
          <w:sz w:val="24"/>
          <w:szCs w:val="24"/>
        </w:rPr>
        <w:t xml:space="preserve"> and that negative </w:t>
      </w:r>
      <w:r w:rsidR="0016631A">
        <w:rPr>
          <w:rFonts w:ascii="Times New Roman" w:hAnsi="Times New Roman" w:cs="Times New Roman"/>
          <w:sz w:val="24"/>
          <w:szCs w:val="24"/>
        </w:rPr>
        <w:t>CW announcements</w:t>
      </w:r>
      <w:r w:rsidR="00012B17">
        <w:rPr>
          <w:rFonts w:ascii="Times New Roman" w:hAnsi="Times New Roman" w:cs="Times New Roman"/>
          <w:sz w:val="24"/>
          <w:szCs w:val="24"/>
        </w:rPr>
        <w:t xml:space="preserve"> occur 3.5 times more than positive </w:t>
      </w:r>
      <w:r w:rsidR="0016631A">
        <w:rPr>
          <w:rFonts w:ascii="Times New Roman" w:hAnsi="Times New Roman" w:cs="Times New Roman"/>
          <w:sz w:val="24"/>
          <w:szCs w:val="24"/>
        </w:rPr>
        <w:t>CW announcements</w:t>
      </w:r>
      <w:r w:rsidR="003C4DF6">
        <w:rPr>
          <w:rFonts w:ascii="Times New Roman" w:hAnsi="Times New Roman" w:cs="Times New Roman"/>
          <w:sz w:val="24"/>
          <w:szCs w:val="24"/>
        </w:rPr>
        <w:t>.</w:t>
      </w:r>
      <w:r w:rsidR="001238F0">
        <w:rPr>
          <w:rStyle w:val="FootnoteReference"/>
          <w:rFonts w:ascii="Times New Roman" w:hAnsi="Times New Roman" w:cs="Times New Roman"/>
          <w:sz w:val="24"/>
          <w:szCs w:val="24"/>
        </w:rPr>
        <w:footnoteReference w:id="2"/>
      </w:r>
      <w:r w:rsidR="001238F0">
        <w:rPr>
          <w:rFonts w:ascii="Times New Roman" w:hAnsi="Times New Roman" w:cs="Times New Roman"/>
          <w:sz w:val="24"/>
          <w:szCs w:val="24"/>
        </w:rPr>
        <w:t xml:space="preserve"> </w:t>
      </w:r>
      <w:r>
        <w:rPr>
          <w:rFonts w:ascii="Times New Roman" w:hAnsi="Times New Roman" w:cs="Times New Roman"/>
          <w:sz w:val="24"/>
          <w:szCs w:val="24"/>
        </w:rPr>
        <w:t xml:space="preserve"> </w:t>
      </w:r>
      <w:bookmarkStart w:id="8" w:name="_Hlk13569292"/>
      <w:r w:rsidR="00012B17">
        <w:rPr>
          <w:rFonts w:ascii="Times New Roman" w:hAnsi="Times New Roman" w:cs="Times New Roman"/>
          <w:sz w:val="24"/>
          <w:szCs w:val="24"/>
        </w:rPr>
        <w:t xml:space="preserve">These results suggest that given </w:t>
      </w:r>
      <w:r w:rsidR="006F7E2A">
        <w:rPr>
          <w:rFonts w:ascii="Times New Roman" w:hAnsi="Times New Roman" w:cs="Times New Roman"/>
          <w:sz w:val="24"/>
          <w:szCs w:val="24"/>
        </w:rPr>
        <w:t xml:space="preserve">a </w:t>
      </w:r>
      <w:r w:rsidR="00012B17">
        <w:rPr>
          <w:rFonts w:ascii="Times New Roman" w:hAnsi="Times New Roman" w:cs="Times New Roman"/>
          <w:sz w:val="24"/>
          <w:szCs w:val="24"/>
        </w:rPr>
        <w:t>CW placement</w:t>
      </w:r>
      <w:r w:rsidR="006F7E2A">
        <w:rPr>
          <w:rFonts w:ascii="Times New Roman" w:hAnsi="Times New Roman" w:cs="Times New Roman"/>
          <w:sz w:val="24"/>
          <w:szCs w:val="24"/>
        </w:rPr>
        <w:t xml:space="preserve">, a rating change in the direction suggested by the placement is likely to occur in a </w:t>
      </w:r>
      <w:r w:rsidR="00012B17">
        <w:rPr>
          <w:rFonts w:ascii="Times New Roman" w:hAnsi="Times New Roman" w:cs="Times New Roman"/>
          <w:sz w:val="24"/>
          <w:szCs w:val="24"/>
        </w:rPr>
        <w:t xml:space="preserve">fairly short period of time.  </w:t>
      </w:r>
      <w:r w:rsidR="006F7E2A">
        <w:rPr>
          <w:rFonts w:ascii="Times New Roman" w:hAnsi="Times New Roman" w:cs="Times New Roman"/>
          <w:sz w:val="24"/>
          <w:szCs w:val="24"/>
        </w:rPr>
        <w:t xml:space="preserve">On the other hand, there is not </w:t>
      </w:r>
      <w:r w:rsidR="00BB47FF">
        <w:rPr>
          <w:rFonts w:ascii="Times New Roman" w:hAnsi="Times New Roman" w:cs="Times New Roman"/>
          <w:sz w:val="24"/>
          <w:szCs w:val="24"/>
        </w:rPr>
        <w:t xml:space="preserve">coincidentally </w:t>
      </w:r>
      <w:r w:rsidR="006F7E2A">
        <w:rPr>
          <w:rFonts w:ascii="Times New Roman" w:hAnsi="Times New Roman" w:cs="Times New Roman"/>
          <w:sz w:val="24"/>
          <w:szCs w:val="24"/>
        </w:rPr>
        <w:t xml:space="preserve">as strong a likelihood that a preceding CW placement will </w:t>
      </w:r>
      <w:r w:rsidR="00C34C29">
        <w:rPr>
          <w:rFonts w:ascii="Times New Roman" w:hAnsi="Times New Roman" w:cs="Times New Roman"/>
          <w:sz w:val="24"/>
          <w:szCs w:val="24"/>
        </w:rPr>
        <w:t xml:space="preserve">accompany any </w:t>
      </w:r>
      <w:proofErr w:type="gramStart"/>
      <w:r w:rsidR="00C34C29">
        <w:rPr>
          <w:rFonts w:ascii="Times New Roman" w:hAnsi="Times New Roman" w:cs="Times New Roman"/>
          <w:sz w:val="24"/>
          <w:szCs w:val="24"/>
        </w:rPr>
        <w:t>particular rating</w:t>
      </w:r>
      <w:proofErr w:type="gramEnd"/>
      <w:r w:rsidR="00C34C29">
        <w:rPr>
          <w:rFonts w:ascii="Times New Roman" w:hAnsi="Times New Roman" w:cs="Times New Roman"/>
          <w:sz w:val="24"/>
          <w:szCs w:val="24"/>
        </w:rPr>
        <w:t xml:space="preserve"> change, on average</w:t>
      </w:r>
      <w:r w:rsidR="000411FA">
        <w:rPr>
          <w:rFonts w:ascii="Times New Roman" w:hAnsi="Times New Roman" w:cs="Times New Roman"/>
          <w:sz w:val="24"/>
          <w:szCs w:val="24"/>
        </w:rPr>
        <w:t>.</w:t>
      </w:r>
      <w:r w:rsidR="006F7E2A">
        <w:rPr>
          <w:rFonts w:ascii="Times New Roman" w:hAnsi="Times New Roman" w:cs="Times New Roman"/>
          <w:sz w:val="24"/>
          <w:szCs w:val="24"/>
        </w:rPr>
        <w:t xml:space="preserve">  That is, positive (negative) </w:t>
      </w:r>
      <w:r w:rsidR="0016631A">
        <w:rPr>
          <w:rFonts w:ascii="Times New Roman" w:hAnsi="Times New Roman" w:cs="Times New Roman"/>
          <w:sz w:val="24"/>
          <w:szCs w:val="24"/>
        </w:rPr>
        <w:t>CW announcements</w:t>
      </w:r>
      <w:r w:rsidR="006F7E2A">
        <w:rPr>
          <w:rFonts w:ascii="Times New Roman" w:hAnsi="Times New Roman" w:cs="Times New Roman"/>
          <w:sz w:val="24"/>
          <w:szCs w:val="24"/>
        </w:rPr>
        <w:t xml:space="preserve"> precede upgrades (downgrades) only 25.</w:t>
      </w:r>
      <w:r w:rsidR="000411FA">
        <w:rPr>
          <w:rFonts w:ascii="Times New Roman" w:hAnsi="Times New Roman" w:cs="Times New Roman"/>
          <w:sz w:val="24"/>
          <w:szCs w:val="24"/>
        </w:rPr>
        <w:t>67</w:t>
      </w:r>
      <w:r w:rsidR="006F7E2A">
        <w:rPr>
          <w:rFonts w:ascii="Times New Roman" w:hAnsi="Times New Roman" w:cs="Times New Roman"/>
          <w:sz w:val="24"/>
          <w:szCs w:val="24"/>
        </w:rPr>
        <w:t xml:space="preserve"> (33.1</w:t>
      </w:r>
      <w:r w:rsidR="000411FA">
        <w:rPr>
          <w:rFonts w:ascii="Times New Roman" w:hAnsi="Times New Roman" w:cs="Times New Roman"/>
          <w:sz w:val="24"/>
          <w:szCs w:val="24"/>
        </w:rPr>
        <w:t>0</w:t>
      </w:r>
      <w:r w:rsidR="006F7E2A">
        <w:rPr>
          <w:rFonts w:ascii="Times New Roman" w:hAnsi="Times New Roman" w:cs="Times New Roman"/>
          <w:sz w:val="24"/>
          <w:szCs w:val="24"/>
        </w:rPr>
        <w:t>) percent of the time.</w:t>
      </w:r>
    </w:p>
    <w:bookmarkEnd w:id="8"/>
    <w:p w14:paraId="5D840A06" w14:textId="387C5291" w:rsidR="00331929" w:rsidRDefault="00331929" w:rsidP="00C948F0">
      <w:pPr>
        <w:spacing w:after="0" w:line="240" w:lineRule="auto"/>
        <w:rPr>
          <w:rFonts w:ascii="Times New Roman" w:hAnsi="Times New Roman" w:cs="Times New Roman"/>
          <w:sz w:val="24"/>
          <w:szCs w:val="24"/>
        </w:rPr>
      </w:pPr>
    </w:p>
    <w:p w14:paraId="432A825E" w14:textId="49209124" w:rsidR="00EE2A8A" w:rsidRPr="00793F60" w:rsidRDefault="00793F60" w:rsidP="002D6019">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Hypotheses</w:t>
      </w:r>
    </w:p>
    <w:p w14:paraId="7F2F4C50" w14:textId="042A1250" w:rsidR="00EE2A8A" w:rsidRDefault="00EE2A8A" w:rsidP="002D6019">
      <w:pPr>
        <w:spacing w:after="0" w:line="240" w:lineRule="auto"/>
        <w:ind w:firstLine="360"/>
        <w:rPr>
          <w:rFonts w:ascii="Times New Roman" w:hAnsi="Times New Roman" w:cs="Times New Roman"/>
          <w:sz w:val="24"/>
          <w:szCs w:val="24"/>
        </w:rPr>
      </w:pPr>
    </w:p>
    <w:p w14:paraId="2D3D7348" w14:textId="31E1070B" w:rsidR="00816198" w:rsidRDefault="00077808" w:rsidP="00DE128B">
      <w:pPr>
        <w:spacing w:after="0" w:line="360" w:lineRule="auto"/>
        <w:ind w:firstLine="360"/>
        <w:rPr>
          <w:rFonts w:ascii="Times New Roman" w:hAnsi="Times New Roman" w:cs="Times New Roman"/>
          <w:color w:val="000000" w:themeColor="text1"/>
          <w:sz w:val="24"/>
          <w:szCs w:val="24"/>
        </w:rPr>
      </w:pPr>
      <w:r w:rsidRPr="00CE4052">
        <w:rPr>
          <w:rFonts w:ascii="Times New Roman" w:hAnsi="Times New Roman" w:cs="Times New Roman"/>
          <w:color w:val="000000" w:themeColor="text1"/>
          <w:sz w:val="24"/>
          <w:szCs w:val="24"/>
        </w:rPr>
        <w:t xml:space="preserve">According to CR-CS, notch firms </w:t>
      </w:r>
      <w:r w:rsidR="00CF5B35">
        <w:rPr>
          <w:rFonts w:ascii="Times New Roman" w:hAnsi="Times New Roman" w:cs="Times New Roman"/>
          <w:color w:val="000000" w:themeColor="text1"/>
          <w:sz w:val="24"/>
          <w:szCs w:val="24"/>
        </w:rPr>
        <w:t xml:space="preserve">near a broad rating change </w:t>
      </w:r>
      <w:r w:rsidRPr="00CE4052">
        <w:rPr>
          <w:rFonts w:ascii="Times New Roman" w:hAnsi="Times New Roman" w:cs="Times New Roman"/>
          <w:color w:val="000000" w:themeColor="text1"/>
          <w:sz w:val="24"/>
          <w:szCs w:val="24"/>
        </w:rPr>
        <w:t>have a greater incentive to reduce</w:t>
      </w:r>
      <w:r w:rsidR="00CF5B35">
        <w:rPr>
          <w:rFonts w:ascii="Times New Roman" w:hAnsi="Times New Roman" w:cs="Times New Roman"/>
          <w:color w:val="000000" w:themeColor="text1"/>
          <w:sz w:val="24"/>
          <w:szCs w:val="24"/>
        </w:rPr>
        <w:t xml:space="preserve"> net debt levels than non-notch</w:t>
      </w:r>
      <w:r w:rsidR="00901E15">
        <w:rPr>
          <w:rFonts w:ascii="Times New Roman" w:hAnsi="Times New Roman" w:cs="Times New Roman"/>
          <w:color w:val="000000" w:themeColor="text1"/>
          <w:sz w:val="24"/>
          <w:szCs w:val="24"/>
        </w:rPr>
        <w:t xml:space="preserve"> firms</w:t>
      </w:r>
      <w:r w:rsidR="00CF5B35">
        <w:rPr>
          <w:rFonts w:ascii="Times New Roman" w:hAnsi="Times New Roman" w:cs="Times New Roman"/>
          <w:color w:val="000000" w:themeColor="text1"/>
          <w:sz w:val="24"/>
          <w:szCs w:val="24"/>
        </w:rPr>
        <w:t xml:space="preserve">.  </w:t>
      </w:r>
      <w:r w:rsidR="0083459C" w:rsidRPr="00CE4052">
        <w:rPr>
          <w:rFonts w:ascii="Times New Roman" w:hAnsi="Times New Roman" w:cs="Times New Roman"/>
          <w:color w:val="000000" w:themeColor="text1"/>
          <w:sz w:val="24"/>
          <w:szCs w:val="24"/>
        </w:rPr>
        <w:t xml:space="preserve">Thus, notch firms reduce debt more </w:t>
      </w:r>
      <w:r w:rsidR="00CF5B35">
        <w:rPr>
          <w:rFonts w:ascii="Times New Roman" w:hAnsi="Times New Roman" w:cs="Times New Roman"/>
          <w:color w:val="000000" w:themeColor="text1"/>
          <w:sz w:val="24"/>
          <w:szCs w:val="24"/>
        </w:rPr>
        <w:t>drastically</w:t>
      </w:r>
      <w:r w:rsidR="0083459C" w:rsidRPr="00CE4052">
        <w:rPr>
          <w:rFonts w:ascii="Times New Roman" w:hAnsi="Times New Roman" w:cs="Times New Roman"/>
          <w:color w:val="000000" w:themeColor="text1"/>
          <w:sz w:val="24"/>
          <w:szCs w:val="24"/>
        </w:rPr>
        <w:t xml:space="preserve"> than non-notch-rated firms to realize either an increase in the probability of an </w:t>
      </w:r>
      <w:r w:rsidR="0083459C" w:rsidRPr="00DE6966">
        <w:rPr>
          <w:rFonts w:ascii="Times New Roman" w:hAnsi="Times New Roman" w:cs="Times New Roman"/>
          <w:color w:val="000000" w:themeColor="text1"/>
          <w:sz w:val="24"/>
          <w:szCs w:val="24"/>
        </w:rPr>
        <w:t>upgrade or decrease in the probability of downgrade that ultimately results in a superior cost</w:t>
      </w:r>
      <w:r w:rsidR="003B5083" w:rsidRPr="00DE6966">
        <w:rPr>
          <w:rFonts w:ascii="Times New Roman" w:hAnsi="Times New Roman" w:cs="Times New Roman"/>
          <w:color w:val="000000" w:themeColor="text1"/>
          <w:sz w:val="24"/>
          <w:szCs w:val="24"/>
        </w:rPr>
        <w:t xml:space="preserve"> of </w:t>
      </w:r>
      <w:r w:rsidR="0083459C" w:rsidRPr="00DE6966">
        <w:rPr>
          <w:rFonts w:ascii="Times New Roman" w:hAnsi="Times New Roman" w:cs="Times New Roman"/>
          <w:color w:val="000000" w:themeColor="text1"/>
          <w:sz w:val="24"/>
          <w:szCs w:val="24"/>
        </w:rPr>
        <w:t xml:space="preserve">capital relative to </w:t>
      </w:r>
      <w:r w:rsidR="00CF5B35">
        <w:rPr>
          <w:rFonts w:ascii="Times New Roman" w:hAnsi="Times New Roman" w:cs="Times New Roman"/>
          <w:color w:val="000000" w:themeColor="text1"/>
          <w:sz w:val="24"/>
          <w:szCs w:val="24"/>
        </w:rPr>
        <w:t>inaction</w:t>
      </w:r>
      <w:r w:rsidR="0083459C" w:rsidRPr="00DE6966">
        <w:rPr>
          <w:rFonts w:ascii="Times New Roman" w:hAnsi="Times New Roman" w:cs="Times New Roman"/>
          <w:color w:val="000000" w:themeColor="text1"/>
          <w:sz w:val="24"/>
          <w:szCs w:val="24"/>
        </w:rPr>
        <w:t xml:space="preserve">.  </w:t>
      </w:r>
      <w:bookmarkStart w:id="9" w:name="_Hlk79152288"/>
      <w:r w:rsidR="003B5083" w:rsidRPr="00DE6966">
        <w:rPr>
          <w:rFonts w:ascii="Times New Roman" w:hAnsi="Times New Roman" w:cs="Times New Roman"/>
          <w:color w:val="000000" w:themeColor="text1"/>
          <w:sz w:val="24"/>
          <w:szCs w:val="24"/>
        </w:rPr>
        <w:t xml:space="preserve">If this is true and </w:t>
      </w:r>
      <w:r w:rsidR="00816198" w:rsidRPr="00DE6966">
        <w:rPr>
          <w:rFonts w:ascii="Times New Roman" w:hAnsi="Times New Roman" w:cs="Times New Roman"/>
          <w:color w:val="000000" w:themeColor="text1"/>
          <w:sz w:val="24"/>
          <w:szCs w:val="24"/>
        </w:rPr>
        <w:t xml:space="preserve">rating changes primarily reflect managerial attempts to obtain beneficial financing costs as CR-CS suggests, </w:t>
      </w:r>
      <w:r w:rsidR="00C952C1" w:rsidRPr="00DE6966">
        <w:rPr>
          <w:rFonts w:ascii="Times New Roman" w:hAnsi="Times New Roman" w:cs="Times New Roman"/>
          <w:color w:val="000000" w:themeColor="text1"/>
          <w:sz w:val="24"/>
          <w:szCs w:val="24"/>
        </w:rPr>
        <w:t xml:space="preserve">notch firms should generally be associated with </w:t>
      </w:r>
      <w:r w:rsidR="00B01D9C">
        <w:rPr>
          <w:rFonts w:ascii="Times New Roman" w:hAnsi="Times New Roman" w:cs="Times New Roman"/>
          <w:color w:val="000000" w:themeColor="text1"/>
          <w:sz w:val="24"/>
          <w:szCs w:val="24"/>
        </w:rPr>
        <w:t xml:space="preserve">more upgrades, fewer downgrades, and </w:t>
      </w:r>
      <w:r w:rsidR="00816198" w:rsidRPr="00DE6966">
        <w:rPr>
          <w:rFonts w:ascii="Times New Roman" w:hAnsi="Times New Roman" w:cs="Times New Roman"/>
          <w:color w:val="000000" w:themeColor="text1"/>
          <w:sz w:val="24"/>
          <w:szCs w:val="24"/>
        </w:rPr>
        <w:t xml:space="preserve">greater </w:t>
      </w:r>
      <w:r w:rsidR="00B01D9C">
        <w:rPr>
          <w:rFonts w:ascii="Times New Roman" w:hAnsi="Times New Roman" w:cs="Times New Roman"/>
          <w:color w:val="000000" w:themeColor="text1"/>
          <w:sz w:val="24"/>
          <w:szCs w:val="24"/>
        </w:rPr>
        <w:t xml:space="preserve">PRE net debt reductions than </w:t>
      </w:r>
      <w:r w:rsidR="00816198" w:rsidRPr="00DE6966">
        <w:rPr>
          <w:rFonts w:ascii="Times New Roman" w:hAnsi="Times New Roman" w:cs="Times New Roman"/>
          <w:color w:val="000000" w:themeColor="text1"/>
          <w:sz w:val="24"/>
          <w:szCs w:val="24"/>
        </w:rPr>
        <w:t>non-notch firms</w:t>
      </w:r>
      <w:r w:rsidR="00B01D9C">
        <w:rPr>
          <w:rFonts w:ascii="Times New Roman" w:hAnsi="Times New Roman" w:cs="Times New Roman"/>
          <w:color w:val="000000" w:themeColor="text1"/>
          <w:sz w:val="24"/>
          <w:szCs w:val="24"/>
        </w:rPr>
        <w:t xml:space="preserve"> regardless of rating status.</w:t>
      </w:r>
      <w:bookmarkEnd w:id="9"/>
      <w:r w:rsidR="00B01D9C">
        <w:rPr>
          <w:rFonts w:ascii="Times New Roman" w:hAnsi="Times New Roman" w:cs="Times New Roman"/>
          <w:color w:val="000000" w:themeColor="text1"/>
          <w:sz w:val="24"/>
          <w:szCs w:val="24"/>
        </w:rPr>
        <w:t xml:space="preserve">  </w:t>
      </w:r>
    </w:p>
    <w:p w14:paraId="37C407DA" w14:textId="2ADCE6F5" w:rsidR="00257223" w:rsidRPr="00A07241" w:rsidRDefault="00A07241" w:rsidP="00DE128B">
      <w:pPr>
        <w:spacing w:after="0" w:line="360" w:lineRule="auto"/>
        <w:ind w:firstLine="360"/>
        <w:rPr>
          <w:rFonts w:ascii="Times New Roman" w:hAnsi="Times New Roman" w:cs="Times New Roman"/>
          <w:color w:val="000000" w:themeColor="text1"/>
          <w:sz w:val="24"/>
          <w:szCs w:val="24"/>
        </w:rPr>
      </w:pPr>
      <w:r w:rsidRPr="00A07241">
        <w:rPr>
          <w:rFonts w:ascii="Times New Roman" w:hAnsi="Times New Roman" w:cs="Times New Roman"/>
          <w:color w:val="000000" w:themeColor="text1"/>
          <w:sz w:val="24"/>
          <w:szCs w:val="24"/>
        </w:rPr>
        <w:t xml:space="preserve">As indicated by </w:t>
      </w:r>
      <w:proofErr w:type="spellStart"/>
      <w:r w:rsidRPr="00A07241">
        <w:rPr>
          <w:rFonts w:ascii="Times New Roman" w:hAnsi="Times New Roman" w:cs="Times New Roman"/>
          <w:color w:val="000000" w:themeColor="text1"/>
          <w:sz w:val="24"/>
          <w:szCs w:val="24"/>
        </w:rPr>
        <w:t>Vazza</w:t>
      </w:r>
      <w:proofErr w:type="spellEnd"/>
      <w:r w:rsidRPr="00A07241">
        <w:rPr>
          <w:rFonts w:ascii="Times New Roman" w:hAnsi="Times New Roman" w:cs="Times New Roman"/>
          <w:color w:val="000000" w:themeColor="text1"/>
          <w:sz w:val="24"/>
          <w:szCs w:val="24"/>
        </w:rPr>
        <w:t xml:space="preserve">, Kraemer, and </w:t>
      </w:r>
      <w:proofErr w:type="spellStart"/>
      <w:r w:rsidRPr="00A07241">
        <w:rPr>
          <w:rFonts w:ascii="Times New Roman" w:hAnsi="Times New Roman" w:cs="Times New Roman"/>
          <w:color w:val="000000" w:themeColor="text1"/>
          <w:sz w:val="24"/>
          <w:szCs w:val="24"/>
        </w:rPr>
        <w:t>Ontko</w:t>
      </w:r>
      <w:proofErr w:type="spellEnd"/>
      <w:r w:rsidRPr="00A07241">
        <w:rPr>
          <w:rFonts w:ascii="Times New Roman" w:hAnsi="Times New Roman" w:cs="Times New Roman"/>
          <w:color w:val="000000" w:themeColor="text1"/>
          <w:sz w:val="24"/>
          <w:szCs w:val="24"/>
        </w:rPr>
        <w:t xml:space="preserve"> (2016), s</w:t>
      </w:r>
      <w:r w:rsidR="007663CA" w:rsidRPr="00A07241">
        <w:rPr>
          <w:rFonts w:ascii="Times New Roman" w:hAnsi="Times New Roman" w:cs="Times New Roman"/>
          <w:color w:val="000000" w:themeColor="text1"/>
          <w:sz w:val="24"/>
          <w:szCs w:val="24"/>
        </w:rPr>
        <w:t>ome rating changed firms have prior CW announcements</w:t>
      </w:r>
      <w:r w:rsidR="00C0671D">
        <w:rPr>
          <w:rFonts w:ascii="Times New Roman" w:hAnsi="Times New Roman" w:cs="Times New Roman"/>
          <w:color w:val="000000" w:themeColor="text1"/>
          <w:sz w:val="24"/>
          <w:szCs w:val="24"/>
        </w:rPr>
        <w:t>,</w:t>
      </w:r>
      <w:r w:rsidR="007663CA" w:rsidRPr="00A07241">
        <w:rPr>
          <w:rFonts w:ascii="Times New Roman" w:hAnsi="Times New Roman" w:cs="Times New Roman"/>
          <w:color w:val="000000" w:themeColor="text1"/>
          <w:sz w:val="24"/>
          <w:szCs w:val="24"/>
        </w:rPr>
        <w:t xml:space="preserve"> </w:t>
      </w:r>
      <w:r w:rsidR="00237654" w:rsidRPr="00A07241">
        <w:rPr>
          <w:rFonts w:ascii="Times New Roman" w:hAnsi="Times New Roman" w:cs="Times New Roman"/>
          <w:color w:val="000000" w:themeColor="text1"/>
          <w:sz w:val="24"/>
          <w:szCs w:val="24"/>
        </w:rPr>
        <w:t>but mo</w:t>
      </w:r>
      <w:r w:rsidRPr="00A07241">
        <w:rPr>
          <w:rFonts w:ascii="Times New Roman" w:hAnsi="Times New Roman" w:cs="Times New Roman"/>
          <w:color w:val="000000" w:themeColor="text1"/>
          <w:sz w:val="24"/>
          <w:szCs w:val="24"/>
        </w:rPr>
        <w:t>st</w:t>
      </w:r>
      <w:r w:rsidR="00237654" w:rsidRPr="00A07241">
        <w:rPr>
          <w:rFonts w:ascii="Times New Roman" w:hAnsi="Times New Roman" w:cs="Times New Roman"/>
          <w:color w:val="000000" w:themeColor="text1"/>
          <w:sz w:val="24"/>
          <w:szCs w:val="24"/>
        </w:rPr>
        <w:t xml:space="preserve"> </w:t>
      </w:r>
      <w:r w:rsidR="007663CA" w:rsidRPr="00A07241">
        <w:rPr>
          <w:rFonts w:ascii="Times New Roman" w:hAnsi="Times New Roman" w:cs="Times New Roman"/>
          <w:color w:val="000000" w:themeColor="text1"/>
          <w:sz w:val="24"/>
          <w:szCs w:val="24"/>
        </w:rPr>
        <w:t>do</w:t>
      </w:r>
      <w:r w:rsidR="00C0671D">
        <w:rPr>
          <w:rFonts w:ascii="Times New Roman" w:hAnsi="Times New Roman" w:cs="Times New Roman"/>
          <w:color w:val="000000" w:themeColor="text1"/>
          <w:sz w:val="24"/>
          <w:szCs w:val="24"/>
        </w:rPr>
        <w:t xml:space="preserve"> not</w:t>
      </w:r>
      <w:r w:rsidR="007663CA" w:rsidRPr="00A07241">
        <w:rPr>
          <w:rFonts w:ascii="Times New Roman" w:hAnsi="Times New Roman" w:cs="Times New Roman"/>
          <w:color w:val="000000" w:themeColor="text1"/>
          <w:sz w:val="24"/>
          <w:szCs w:val="24"/>
        </w:rPr>
        <w:t>.  In the case where CW announcements occur, they generally occur within 90 days of the rating change and downgrades are much more frequent tha</w:t>
      </w:r>
      <w:r w:rsidR="006615D9">
        <w:rPr>
          <w:rFonts w:ascii="Times New Roman" w:hAnsi="Times New Roman" w:cs="Times New Roman"/>
          <w:color w:val="000000" w:themeColor="text1"/>
          <w:sz w:val="24"/>
          <w:szCs w:val="24"/>
        </w:rPr>
        <w:t>n</w:t>
      </w:r>
      <w:r w:rsidR="007663CA" w:rsidRPr="00A07241">
        <w:rPr>
          <w:rFonts w:ascii="Times New Roman" w:hAnsi="Times New Roman" w:cs="Times New Roman"/>
          <w:color w:val="000000" w:themeColor="text1"/>
          <w:sz w:val="24"/>
          <w:szCs w:val="24"/>
        </w:rPr>
        <w:t xml:space="preserve"> upgrades.  In our analysis, </w:t>
      </w:r>
      <w:r w:rsidR="00FF7A9C" w:rsidRPr="00A07241">
        <w:rPr>
          <w:rFonts w:ascii="Times New Roman" w:hAnsi="Times New Roman" w:cs="Times New Roman"/>
          <w:color w:val="000000" w:themeColor="text1"/>
          <w:sz w:val="24"/>
          <w:szCs w:val="24"/>
        </w:rPr>
        <w:t xml:space="preserve">we define the rating change process as beginning with the CW announcement, if present, and ending with the rating change.  </w:t>
      </w:r>
      <w:r w:rsidR="00B548AA" w:rsidRPr="00A07241">
        <w:rPr>
          <w:rFonts w:ascii="Times New Roman" w:hAnsi="Times New Roman" w:cs="Times New Roman"/>
          <w:color w:val="000000" w:themeColor="text1"/>
          <w:sz w:val="24"/>
          <w:szCs w:val="24"/>
        </w:rPr>
        <w:t xml:space="preserve">If there is no CW announcement, the rating change process is defined by the quarter in which the rating change takes place.  </w:t>
      </w:r>
      <w:r w:rsidR="00FF7A9C" w:rsidRPr="00A07241">
        <w:rPr>
          <w:rFonts w:ascii="Times New Roman" w:hAnsi="Times New Roman" w:cs="Times New Roman"/>
          <w:color w:val="000000" w:themeColor="text1"/>
          <w:sz w:val="24"/>
          <w:szCs w:val="24"/>
        </w:rPr>
        <w:t xml:space="preserve">Thus, in focusing on the eight quarters prior to the </w:t>
      </w:r>
      <w:r w:rsidR="00257223" w:rsidRPr="00A07241">
        <w:rPr>
          <w:rFonts w:ascii="Times New Roman" w:hAnsi="Times New Roman" w:cs="Times New Roman"/>
          <w:color w:val="000000" w:themeColor="text1"/>
          <w:sz w:val="24"/>
          <w:szCs w:val="24"/>
        </w:rPr>
        <w:t xml:space="preserve">beginning of the </w:t>
      </w:r>
      <w:r w:rsidR="00FF7A9C" w:rsidRPr="00A07241">
        <w:rPr>
          <w:rFonts w:ascii="Times New Roman" w:hAnsi="Times New Roman" w:cs="Times New Roman"/>
          <w:color w:val="000000" w:themeColor="text1"/>
          <w:sz w:val="24"/>
          <w:szCs w:val="24"/>
        </w:rPr>
        <w:t>rating change process, Q-8 through Q-1,</w:t>
      </w:r>
      <w:r w:rsidR="00B548AA" w:rsidRPr="00A07241">
        <w:rPr>
          <w:rFonts w:ascii="Times New Roman" w:hAnsi="Times New Roman" w:cs="Times New Roman"/>
          <w:color w:val="000000" w:themeColor="text1"/>
          <w:sz w:val="24"/>
          <w:szCs w:val="24"/>
        </w:rPr>
        <w:t xml:space="preserve"> </w:t>
      </w:r>
      <w:r w:rsidR="00FF7A9C" w:rsidRPr="00A07241">
        <w:rPr>
          <w:rFonts w:ascii="Times New Roman" w:hAnsi="Times New Roman" w:cs="Times New Roman"/>
          <w:color w:val="000000" w:themeColor="text1"/>
          <w:sz w:val="24"/>
          <w:szCs w:val="24"/>
        </w:rPr>
        <w:t xml:space="preserve">we capture managerial adjustments </w:t>
      </w:r>
      <w:r w:rsidR="00DB6305">
        <w:rPr>
          <w:rFonts w:ascii="Times New Roman" w:hAnsi="Times New Roman" w:cs="Times New Roman"/>
          <w:color w:val="000000" w:themeColor="text1"/>
          <w:sz w:val="24"/>
          <w:szCs w:val="24"/>
        </w:rPr>
        <w:t xml:space="preserve">in capital structure </w:t>
      </w:r>
      <w:r w:rsidR="00FF7A9C" w:rsidRPr="00A07241">
        <w:rPr>
          <w:rFonts w:ascii="Times New Roman" w:hAnsi="Times New Roman" w:cs="Times New Roman"/>
          <w:color w:val="000000" w:themeColor="text1"/>
          <w:sz w:val="24"/>
          <w:szCs w:val="24"/>
        </w:rPr>
        <w:t xml:space="preserve">before </w:t>
      </w:r>
      <w:r w:rsidR="00B548AA" w:rsidRPr="00A07241">
        <w:rPr>
          <w:rFonts w:ascii="Times New Roman" w:hAnsi="Times New Roman" w:cs="Times New Roman"/>
          <w:color w:val="000000" w:themeColor="text1"/>
          <w:sz w:val="24"/>
          <w:szCs w:val="24"/>
        </w:rPr>
        <w:t xml:space="preserve">any action </w:t>
      </w:r>
      <w:r w:rsidR="00257223" w:rsidRPr="00A07241">
        <w:rPr>
          <w:rFonts w:ascii="Times New Roman" w:hAnsi="Times New Roman" w:cs="Times New Roman"/>
          <w:color w:val="000000" w:themeColor="text1"/>
          <w:sz w:val="24"/>
          <w:szCs w:val="24"/>
        </w:rPr>
        <w:t xml:space="preserve">is </w:t>
      </w:r>
      <w:r w:rsidR="00B548AA" w:rsidRPr="00A07241">
        <w:rPr>
          <w:rFonts w:ascii="Times New Roman" w:hAnsi="Times New Roman" w:cs="Times New Roman"/>
          <w:color w:val="000000" w:themeColor="text1"/>
          <w:sz w:val="24"/>
          <w:szCs w:val="24"/>
        </w:rPr>
        <w:t xml:space="preserve">taken by </w:t>
      </w:r>
      <w:r w:rsidR="00FF7A9C" w:rsidRPr="00A07241">
        <w:rPr>
          <w:rFonts w:ascii="Times New Roman" w:hAnsi="Times New Roman" w:cs="Times New Roman"/>
          <w:color w:val="000000" w:themeColor="text1"/>
          <w:sz w:val="24"/>
          <w:szCs w:val="24"/>
        </w:rPr>
        <w:t xml:space="preserve">S&amp;P about the firm.  </w:t>
      </w:r>
      <w:r w:rsidR="00B548AA" w:rsidRPr="00A07241">
        <w:rPr>
          <w:rFonts w:ascii="Times New Roman" w:hAnsi="Times New Roman" w:cs="Times New Roman"/>
          <w:color w:val="000000" w:themeColor="text1"/>
          <w:sz w:val="24"/>
          <w:szCs w:val="24"/>
        </w:rPr>
        <w:t xml:space="preserve">This allows us to </w:t>
      </w:r>
      <w:r w:rsidR="00257223" w:rsidRPr="00A07241">
        <w:rPr>
          <w:rFonts w:ascii="Times New Roman" w:hAnsi="Times New Roman" w:cs="Times New Roman"/>
          <w:color w:val="000000" w:themeColor="text1"/>
          <w:sz w:val="24"/>
          <w:szCs w:val="24"/>
        </w:rPr>
        <w:t xml:space="preserve">more closely assess the role that these adjustments play </w:t>
      </w:r>
      <w:r w:rsidR="00C66895" w:rsidRPr="00A07241">
        <w:rPr>
          <w:rFonts w:ascii="Times New Roman" w:hAnsi="Times New Roman" w:cs="Times New Roman"/>
          <w:color w:val="000000" w:themeColor="text1"/>
          <w:sz w:val="24"/>
          <w:szCs w:val="24"/>
        </w:rPr>
        <w:t xml:space="preserve">relative to </w:t>
      </w:r>
      <w:r w:rsidR="00257223" w:rsidRPr="00A07241">
        <w:rPr>
          <w:rFonts w:ascii="Times New Roman" w:hAnsi="Times New Roman" w:cs="Times New Roman"/>
          <w:color w:val="000000" w:themeColor="text1"/>
          <w:sz w:val="24"/>
          <w:szCs w:val="24"/>
        </w:rPr>
        <w:t xml:space="preserve">S&amp;P CW announcement and rating change decisions.  </w:t>
      </w:r>
    </w:p>
    <w:p w14:paraId="0D4DE262" w14:textId="77777777" w:rsidR="00942837" w:rsidRDefault="002C07FC" w:rsidP="00DE128B">
      <w:pPr>
        <w:spacing w:after="0" w:line="360" w:lineRule="auto"/>
        <w:ind w:firstLine="360"/>
        <w:rPr>
          <w:rFonts w:ascii="Times New Roman" w:hAnsi="Times New Roman" w:cs="Times New Roman"/>
          <w:sz w:val="24"/>
          <w:szCs w:val="24"/>
        </w:rPr>
      </w:pPr>
      <w:r w:rsidRPr="0024036B">
        <w:rPr>
          <w:rFonts w:ascii="Times New Roman" w:hAnsi="Times New Roman" w:cs="Times New Roman"/>
          <w:sz w:val="24"/>
          <w:szCs w:val="24"/>
        </w:rPr>
        <w:lastRenderedPageBreak/>
        <w:t xml:space="preserve">Assuming that S&amp;P is not biased to confirm the outcome of their placements, analysis of these adjustments </w:t>
      </w:r>
      <w:r w:rsidR="00AD6C03" w:rsidRPr="0024036B">
        <w:rPr>
          <w:rFonts w:ascii="Times New Roman" w:hAnsi="Times New Roman" w:cs="Times New Roman"/>
          <w:sz w:val="24"/>
          <w:szCs w:val="24"/>
        </w:rPr>
        <w:t xml:space="preserve">surrounding the rating change process is useful </w:t>
      </w:r>
      <w:r w:rsidRPr="0024036B">
        <w:rPr>
          <w:rFonts w:ascii="Times New Roman" w:hAnsi="Times New Roman" w:cs="Times New Roman"/>
          <w:sz w:val="24"/>
          <w:szCs w:val="24"/>
        </w:rPr>
        <w:t>to assess the extent to which management anticipates, influences, and/or reacts to</w:t>
      </w:r>
      <w:r w:rsidR="001269BC" w:rsidRPr="0024036B">
        <w:rPr>
          <w:rFonts w:ascii="Times New Roman" w:hAnsi="Times New Roman" w:cs="Times New Roman"/>
          <w:sz w:val="24"/>
          <w:szCs w:val="24"/>
        </w:rPr>
        <w:t xml:space="preserve"> S&amp;P</w:t>
      </w:r>
      <w:r w:rsidRPr="0024036B">
        <w:rPr>
          <w:rFonts w:ascii="Times New Roman" w:hAnsi="Times New Roman" w:cs="Times New Roman"/>
          <w:sz w:val="24"/>
          <w:szCs w:val="24"/>
        </w:rPr>
        <w:t xml:space="preserve"> decisions as well as how valuable </w:t>
      </w:r>
      <w:r w:rsidR="001269BC" w:rsidRPr="0024036B">
        <w:rPr>
          <w:rFonts w:ascii="Times New Roman" w:hAnsi="Times New Roman" w:cs="Times New Roman"/>
          <w:sz w:val="24"/>
          <w:szCs w:val="24"/>
        </w:rPr>
        <w:t xml:space="preserve">S&amp;P is </w:t>
      </w:r>
      <w:r w:rsidRPr="0024036B">
        <w:rPr>
          <w:rFonts w:ascii="Times New Roman" w:hAnsi="Times New Roman" w:cs="Times New Roman"/>
          <w:sz w:val="24"/>
          <w:szCs w:val="24"/>
        </w:rPr>
        <w:t xml:space="preserve">in providing useful new information to the market.  </w:t>
      </w:r>
      <w:r w:rsidR="00942837">
        <w:rPr>
          <w:rFonts w:ascii="Times New Roman" w:hAnsi="Times New Roman" w:cs="Times New Roman"/>
          <w:sz w:val="24"/>
          <w:szCs w:val="24"/>
        </w:rPr>
        <w:t>I</w:t>
      </w:r>
      <w:r w:rsidR="00C66895" w:rsidRPr="0024036B">
        <w:rPr>
          <w:rFonts w:ascii="Times New Roman" w:hAnsi="Times New Roman" w:cs="Times New Roman"/>
          <w:sz w:val="24"/>
          <w:szCs w:val="24"/>
        </w:rPr>
        <w:t>f adjustments take place before the rating change process, we consider this as evidence that S&amp;P plays little role in providing unique and useful information to either management or the market to act upon</w:t>
      </w:r>
      <w:r w:rsidR="00AD6C03" w:rsidRPr="0024036B">
        <w:rPr>
          <w:rFonts w:ascii="Times New Roman" w:hAnsi="Times New Roman" w:cs="Times New Roman"/>
          <w:sz w:val="24"/>
          <w:szCs w:val="24"/>
        </w:rPr>
        <w:t xml:space="preserve">.  </w:t>
      </w:r>
      <w:r w:rsidR="00C66895" w:rsidRPr="0024036B">
        <w:rPr>
          <w:rFonts w:ascii="Times New Roman" w:hAnsi="Times New Roman" w:cs="Times New Roman"/>
          <w:sz w:val="24"/>
          <w:szCs w:val="24"/>
        </w:rPr>
        <w:t xml:space="preserve">This conclusion is further supported if there is no distinction in adjustments between firms without and with CW </w:t>
      </w:r>
      <w:r w:rsidR="005D5C0B">
        <w:rPr>
          <w:rFonts w:ascii="Times New Roman" w:hAnsi="Times New Roman" w:cs="Times New Roman"/>
          <w:sz w:val="24"/>
          <w:szCs w:val="24"/>
        </w:rPr>
        <w:t>placements</w:t>
      </w:r>
      <w:r w:rsidR="00C66895" w:rsidRPr="0024036B">
        <w:rPr>
          <w:rFonts w:ascii="Times New Roman" w:hAnsi="Times New Roman" w:cs="Times New Roman"/>
          <w:sz w:val="24"/>
          <w:szCs w:val="24"/>
        </w:rPr>
        <w:t>.</w:t>
      </w:r>
      <w:r w:rsidR="00C07E3D" w:rsidRPr="0024036B">
        <w:rPr>
          <w:rFonts w:ascii="Times New Roman" w:hAnsi="Times New Roman" w:cs="Times New Roman"/>
          <w:sz w:val="24"/>
          <w:szCs w:val="24"/>
        </w:rPr>
        <w:t xml:space="preserve">  </w:t>
      </w:r>
      <w:r w:rsidR="006D3131" w:rsidRPr="0024036B">
        <w:rPr>
          <w:rFonts w:ascii="Times New Roman" w:hAnsi="Times New Roman" w:cs="Times New Roman"/>
          <w:sz w:val="24"/>
          <w:szCs w:val="24"/>
        </w:rPr>
        <w:t>Alternatively</w:t>
      </w:r>
      <w:r w:rsidR="00C66895" w:rsidRPr="0024036B">
        <w:rPr>
          <w:rFonts w:ascii="Times New Roman" w:hAnsi="Times New Roman" w:cs="Times New Roman"/>
          <w:sz w:val="24"/>
          <w:szCs w:val="24"/>
        </w:rPr>
        <w:t xml:space="preserve">, adjustments taking place only after the rating change process is supportive of S&amp;P providing valuable information to management and the market.  </w:t>
      </w:r>
    </w:p>
    <w:p w14:paraId="7C6E164A" w14:textId="6151CE61" w:rsidR="00C66895" w:rsidRDefault="00121A4C" w:rsidP="00DE128B">
      <w:pPr>
        <w:spacing w:after="0" w:line="36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Validation of CR-CS is explored through observation and analysis of net debt changes before the rating change process.  CR-CS proposes that PRE net debt reductions will be greater for notch firms than for non-notch firms</w:t>
      </w:r>
      <w:r w:rsidR="004033B7">
        <w:rPr>
          <w:rFonts w:ascii="Times New Roman" w:hAnsi="Times New Roman" w:cs="Times New Roman"/>
          <w:color w:val="000000" w:themeColor="text1"/>
          <w:sz w:val="24"/>
          <w:szCs w:val="24"/>
        </w:rPr>
        <w:t xml:space="preserve"> apart from the impact that these reductions have on the ultimate direction and strength of the rating change</w:t>
      </w:r>
      <w:r w:rsidR="00DF40B7">
        <w:rPr>
          <w:rFonts w:ascii="Times New Roman" w:hAnsi="Times New Roman" w:cs="Times New Roman"/>
          <w:color w:val="000000" w:themeColor="text1"/>
          <w:sz w:val="24"/>
          <w:szCs w:val="24"/>
        </w:rPr>
        <w:t xml:space="preserve">, </w:t>
      </w:r>
      <w:r w:rsidR="00DF40B7" w:rsidRPr="00E607A0">
        <w:rPr>
          <w:rFonts w:ascii="Times New Roman" w:hAnsi="Times New Roman" w:cs="Times New Roman"/>
          <w:i/>
          <w:iCs/>
          <w:sz w:val="24"/>
          <w:szCs w:val="24"/>
        </w:rPr>
        <w:t>ΔSP</w:t>
      </w:r>
      <w:r w:rsidR="00DF40B7">
        <w:rPr>
          <w:rFonts w:ascii="Times New Roman" w:hAnsi="Times New Roman" w:cs="Times New Roman"/>
          <w:color w:val="000000" w:themeColor="text1"/>
          <w:sz w:val="24"/>
          <w:szCs w:val="24"/>
        </w:rPr>
        <w:t xml:space="preserve">.  </w:t>
      </w:r>
      <w:r w:rsidR="00E10DAE">
        <w:rPr>
          <w:rFonts w:ascii="Times New Roman" w:hAnsi="Times New Roman" w:cs="Times New Roman"/>
          <w:color w:val="000000" w:themeColor="text1"/>
          <w:sz w:val="24"/>
          <w:szCs w:val="24"/>
        </w:rPr>
        <w:t>With</w:t>
      </w:r>
      <w:r w:rsidR="00E10DAE" w:rsidRPr="00E10DAE">
        <w:rPr>
          <w:rFonts w:ascii="Times New Roman" w:hAnsi="Times New Roman" w:cs="Times New Roman"/>
          <w:i/>
          <w:iCs/>
          <w:sz w:val="24"/>
          <w:szCs w:val="24"/>
        </w:rPr>
        <w:t xml:space="preserve"> </w:t>
      </w:r>
      <w:r w:rsidR="00E10DAE" w:rsidRPr="00E607A0">
        <w:rPr>
          <w:rFonts w:ascii="Times New Roman" w:hAnsi="Times New Roman" w:cs="Times New Roman"/>
          <w:i/>
          <w:iCs/>
          <w:sz w:val="24"/>
          <w:szCs w:val="24"/>
        </w:rPr>
        <w:t>ΔSP</w:t>
      </w:r>
      <w:r w:rsidR="00E10DAE">
        <w:rPr>
          <w:rFonts w:ascii="Times New Roman" w:hAnsi="Times New Roman" w:cs="Times New Roman"/>
          <w:color w:val="000000" w:themeColor="text1"/>
          <w:sz w:val="24"/>
          <w:szCs w:val="24"/>
        </w:rPr>
        <w:t xml:space="preserve"> considered, </w:t>
      </w:r>
      <w:r w:rsidR="00DF40B7">
        <w:rPr>
          <w:rFonts w:ascii="Times New Roman" w:hAnsi="Times New Roman" w:cs="Times New Roman"/>
          <w:color w:val="000000" w:themeColor="text1"/>
          <w:sz w:val="24"/>
          <w:szCs w:val="24"/>
        </w:rPr>
        <w:t xml:space="preserve">we expect to find significantly </w:t>
      </w:r>
      <w:r w:rsidR="002C07FC">
        <w:rPr>
          <w:rFonts w:ascii="Times New Roman" w:hAnsi="Times New Roman" w:cs="Times New Roman"/>
          <w:color w:val="000000" w:themeColor="text1"/>
          <w:sz w:val="24"/>
          <w:szCs w:val="24"/>
        </w:rPr>
        <w:t xml:space="preserve">lower levels of debt and </w:t>
      </w:r>
      <w:r w:rsidR="00DF40B7">
        <w:rPr>
          <w:rFonts w:ascii="Times New Roman" w:hAnsi="Times New Roman" w:cs="Times New Roman"/>
          <w:color w:val="000000" w:themeColor="text1"/>
          <w:sz w:val="24"/>
          <w:szCs w:val="24"/>
        </w:rPr>
        <w:t>greater net debt reduction by notch firms than non-notch firms prior to upgrades</w:t>
      </w:r>
      <w:r w:rsidR="00BB6900">
        <w:rPr>
          <w:rFonts w:ascii="Times New Roman" w:hAnsi="Times New Roman" w:cs="Times New Roman"/>
          <w:color w:val="000000" w:themeColor="text1"/>
          <w:sz w:val="24"/>
          <w:szCs w:val="24"/>
        </w:rPr>
        <w:t xml:space="preserve"> as well as notch firms </w:t>
      </w:r>
      <w:r w:rsidR="002C07FC">
        <w:rPr>
          <w:rFonts w:ascii="Times New Roman" w:hAnsi="Times New Roman" w:cs="Times New Roman"/>
          <w:color w:val="000000" w:themeColor="text1"/>
          <w:sz w:val="24"/>
          <w:szCs w:val="24"/>
        </w:rPr>
        <w:t xml:space="preserve">generally </w:t>
      </w:r>
      <w:r w:rsidR="00BB6900">
        <w:rPr>
          <w:rFonts w:ascii="Times New Roman" w:hAnsi="Times New Roman" w:cs="Times New Roman"/>
          <w:color w:val="000000" w:themeColor="text1"/>
          <w:sz w:val="24"/>
          <w:szCs w:val="24"/>
        </w:rPr>
        <w:t>holding a higher probability of upgrade over that of non-notch firms.</w:t>
      </w:r>
    </w:p>
    <w:p w14:paraId="723D6D1E" w14:textId="71E19F87" w:rsidR="00752C2C" w:rsidRDefault="00752C2C" w:rsidP="00D3366F">
      <w:pPr>
        <w:spacing w:after="0" w:line="240" w:lineRule="auto"/>
        <w:rPr>
          <w:rFonts w:ascii="Times New Roman" w:hAnsi="Times New Roman" w:cs="Times New Roman"/>
          <w:sz w:val="24"/>
          <w:szCs w:val="24"/>
        </w:rPr>
      </w:pPr>
    </w:p>
    <w:p w14:paraId="77B1F40D" w14:textId="22383A54" w:rsidR="00D3366F" w:rsidRPr="0032526C" w:rsidRDefault="0032526C" w:rsidP="0032526C">
      <w:pPr>
        <w:pStyle w:val="ListParagraph"/>
        <w:numPr>
          <w:ilvl w:val="0"/>
          <w:numId w:val="3"/>
        </w:numPr>
        <w:spacing w:after="0" w:line="240" w:lineRule="auto"/>
        <w:rPr>
          <w:rFonts w:ascii="Times New Roman" w:hAnsi="Times New Roman" w:cs="Times New Roman"/>
          <w:b/>
          <w:sz w:val="24"/>
          <w:szCs w:val="24"/>
        </w:rPr>
      </w:pPr>
      <w:r w:rsidRPr="0032526C">
        <w:rPr>
          <w:rFonts w:ascii="Times New Roman" w:hAnsi="Times New Roman" w:cs="Times New Roman"/>
          <w:b/>
          <w:sz w:val="24"/>
          <w:szCs w:val="24"/>
        </w:rPr>
        <w:t>Data and Methodology</w:t>
      </w:r>
    </w:p>
    <w:p w14:paraId="62226847" w14:textId="77777777" w:rsidR="0032526C" w:rsidRPr="0032526C" w:rsidRDefault="0032526C" w:rsidP="0032526C">
      <w:pPr>
        <w:spacing w:after="0" w:line="240" w:lineRule="auto"/>
        <w:rPr>
          <w:rFonts w:ascii="Times New Roman" w:hAnsi="Times New Roman" w:cs="Times New Roman"/>
          <w:sz w:val="24"/>
          <w:szCs w:val="24"/>
        </w:rPr>
      </w:pPr>
    </w:p>
    <w:p w14:paraId="7C647D53" w14:textId="135E2BD3" w:rsidR="00A876B3" w:rsidRDefault="00E01553"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Our initial sample </w:t>
      </w:r>
      <w:r w:rsidR="00163328">
        <w:rPr>
          <w:rFonts w:ascii="Times New Roman" w:hAnsi="Times New Roman" w:cs="Times New Roman"/>
          <w:sz w:val="24"/>
          <w:szCs w:val="24"/>
        </w:rPr>
        <w:t xml:space="preserve">reflects data available for firms with a reported S&amp;P Domestic Long-Term Issuer Credit Rating from the </w:t>
      </w:r>
      <w:proofErr w:type="spellStart"/>
      <w:r w:rsidR="00163328">
        <w:rPr>
          <w:rFonts w:ascii="Times New Roman" w:hAnsi="Times New Roman" w:cs="Times New Roman"/>
          <w:sz w:val="24"/>
          <w:szCs w:val="24"/>
        </w:rPr>
        <w:t>Compustat</w:t>
      </w:r>
      <w:proofErr w:type="spellEnd"/>
      <w:r w:rsidR="00163328">
        <w:rPr>
          <w:rFonts w:ascii="Times New Roman" w:hAnsi="Times New Roman" w:cs="Times New Roman"/>
          <w:sz w:val="24"/>
          <w:szCs w:val="24"/>
        </w:rPr>
        <w:t xml:space="preserve"> S&amp;P Ratings database obtained from Wharton Research Data Services (WRDS) over the </w:t>
      </w:r>
      <w:r w:rsidR="004C768F">
        <w:rPr>
          <w:rFonts w:ascii="Times New Roman" w:hAnsi="Times New Roman" w:cs="Times New Roman"/>
          <w:sz w:val="24"/>
          <w:szCs w:val="24"/>
        </w:rPr>
        <w:t xml:space="preserve">time frame </w:t>
      </w:r>
      <w:r w:rsidR="00163328">
        <w:rPr>
          <w:rFonts w:ascii="Times New Roman" w:hAnsi="Times New Roman" w:cs="Times New Roman"/>
          <w:sz w:val="24"/>
          <w:szCs w:val="24"/>
        </w:rPr>
        <w:t xml:space="preserve">of </w:t>
      </w:r>
      <w:proofErr w:type="gramStart"/>
      <w:r w:rsidR="0043452A">
        <w:rPr>
          <w:rFonts w:ascii="Times New Roman" w:hAnsi="Times New Roman" w:cs="Times New Roman"/>
          <w:sz w:val="24"/>
          <w:szCs w:val="24"/>
        </w:rPr>
        <w:t>Janu</w:t>
      </w:r>
      <w:r w:rsidR="00B23B50">
        <w:rPr>
          <w:rFonts w:ascii="Times New Roman" w:hAnsi="Times New Roman" w:cs="Times New Roman"/>
          <w:sz w:val="24"/>
          <w:szCs w:val="24"/>
        </w:rPr>
        <w:t>ary,</w:t>
      </w:r>
      <w:proofErr w:type="gramEnd"/>
      <w:r w:rsidR="00B23B50">
        <w:rPr>
          <w:rFonts w:ascii="Times New Roman" w:hAnsi="Times New Roman" w:cs="Times New Roman"/>
          <w:sz w:val="24"/>
          <w:szCs w:val="24"/>
        </w:rPr>
        <w:t xml:space="preserve"> </w:t>
      </w:r>
      <w:r w:rsidR="004C768F">
        <w:rPr>
          <w:rFonts w:ascii="Times New Roman" w:hAnsi="Times New Roman" w:cs="Times New Roman"/>
          <w:sz w:val="24"/>
          <w:szCs w:val="24"/>
        </w:rPr>
        <w:t>1</w:t>
      </w:r>
      <w:r w:rsidR="0023479A">
        <w:rPr>
          <w:rFonts w:ascii="Times New Roman" w:hAnsi="Times New Roman" w:cs="Times New Roman"/>
          <w:sz w:val="24"/>
          <w:szCs w:val="24"/>
        </w:rPr>
        <w:t>9</w:t>
      </w:r>
      <w:r w:rsidR="00976305">
        <w:rPr>
          <w:rFonts w:ascii="Times New Roman" w:hAnsi="Times New Roman" w:cs="Times New Roman"/>
          <w:sz w:val="24"/>
          <w:szCs w:val="24"/>
        </w:rPr>
        <w:t>8</w:t>
      </w:r>
      <w:r w:rsidR="009011A6">
        <w:rPr>
          <w:rFonts w:ascii="Times New Roman" w:hAnsi="Times New Roman" w:cs="Times New Roman"/>
          <w:sz w:val="24"/>
          <w:szCs w:val="24"/>
        </w:rPr>
        <w:t>6</w:t>
      </w:r>
      <w:r w:rsidR="00C409FA">
        <w:rPr>
          <w:rFonts w:ascii="Times New Roman" w:hAnsi="Times New Roman" w:cs="Times New Roman"/>
          <w:sz w:val="24"/>
          <w:szCs w:val="24"/>
        </w:rPr>
        <w:t>,</w:t>
      </w:r>
      <w:r w:rsidR="004C768F">
        <w:rPr>
          <w:rFonts w:ascii="Times New Roman" w:hAnsi="Times New Roman" w:cs="Times New Roman"/>
          <w:sz w:val="24"/>
          <w:szCs w:val="24"/>
        </w:rPr>
        <w:t xml:space="preserve"> through </w:t>
      </w:r>
      <w:r w:rsidR="0043452A">
        <w:rPr>
          <w:rFonts w:ascii="Times New Roman" w:hAnsi="Times New Roman" w:cs="Times New Roman"/>
          <w:sz w:val="24"/>
          <w:szCs w:val="24"/>
        </w:rPr>
        <w:t xml:space="preserve">February, </w:t>
      </w:r>
      <w:r w:rsidR="004C768F">
        <w:rPr>
          <w:rFonts w:ascii="Times New Roman" w:hAnsi="Times New Roman" w:cs="Times New Roman"/>
          <w:sz w:val="24"/>
          <w:szCs w:val="24"/>
        </w:rPr>
        <w:t>201</w:t>
      </w:r>
      <w:r w:rsidR="00C409FA">
        <w:rPr>
          <w:rFonts w:ascii="Times New Roman" w:hAnsi="Times New Roman" w:cs="Times New Roman"/>
          <w:sz w:val="24"/>
          <w:szCs w:val="24"/>
        </w:rPr>
        <w:t>7.</w:t>
      </w:r>
      <w:r w:rsidR="00FF2488">
        <w:rPr>
          <w:rStyle w:val="FootnoteReference"/>
          <w:rFonts w:ascii="Times New Roman" w:hAnsi="Times New Roman" w:cs="Times New Roman"/>
          <w:sz w:val="24"/>
          <w:szCs w:val="24"/>
        </w:rPr>
        <w:footnoteReference w:id="3"/>
      </w:r>
      <w:r w:rsidR="00C409FA">
        <w:rPr>
          <w:rFonts w:ascii="Times New Roman" w:hAnsi="Times New Roman" w:cs="Times New Roman"/>
          <w:sz w:val="24"/>
          <w:szCs w:val="24"/>
        </w:rPr>
        <w:t xml:space="preserve">  </w:t>
      </w:r>
      <w:r w:rsidR="00976305">
        <w:rPr>
          <w:rFonts w:ascii="Times New Roman" w:hAnsi="Times New Roman" w:cs="Times New Roman"/>
          <w:sz w:val="24"/>
          <w:szCs w:val="24"/>
        </w:rPr>
        <w:t>We begin ou</w:t>
      </w:r>
      <w:r w:rsidR="00B4351D">
        <w:rPr>
          <w:rFonts w:ascii="Times New Roman" w:hAnsi="Times New Roman" w:cs="Times New Roman"/>
          <w:sz w:val="24"/>
          <w:szCs w:val="24"/>
        </w:rPr>
        <w:t>r</w:t>
      </w:r>
      <w:r w:rsidR="00976305">
        <w:rPr>
          <w:rFonts w:ascii="Times New Roman" w:hAnsi="Times New Roman" w:cs="Times New Roman"/>
          <w:sz w:val="24"/>
          <w:szCs w:val="24"/>
        </w:rPr>
        <w:t xml:space="preserve"> sampling period in 1986 because</w:t>
      </w:r>
      <w:r w:rsidR="00B4351D">
        <w:rPr>
          <w:rFonts w:ascii="Times New Roman" w:hAnsi="Times New Roman" w:cs="Times New Roman"/>
          <w:sz w:val="24"/>
          <w:szCs w:val="24"/>
        </w:rPr>
        <w:t xml:space="preserve"> this is the first full year that this credit rating is reported by </w:t>
      </w:r>
      <w:proofErr w:type="spellStart"/>
      <w:r w:rsidR="00B4351D">
        <w:rPr>
          <w:rFonts w:ascii="Times New Roman" w:hAnsi="Times New Roman" w:cs="Times New Roman"/>
          <w:sz w:val="24"/>
          <w:szCs w:val="24"/>
        </w:rPr>
        <w:t>Compustat</w:t>
      </w:r>
      <w:proofErr w:type="spellEnd"/>
      <w:r w:rsidR="00B4351D">
        <w:rPr>
          <w:rFonts w:ascii="Times New Roman" w:hAnsi="Times New Roman" w:cs="Times New Roman"/>
          <w:sz w:val="24"/>
          <w:szCs w:val="24"/>
        </w:rPr>
        <w:t xml:space="preserve">.  </w:t>
      </w:r>
      <w:proofErr w:type="gramStart"/>
      <w:r w:rsidR="00D54E52">
        <w:rPr>
          <w:rFonts w:ascii="Times New Roman" w:hAnsi="Times New Roman" w:cs="Times New Roman"/>
          <w:sz w:val="24"/>
          <w:szCs w:val="24"/>
        </w:rPr>
        <w:t>Similar to</w:t>
      </w:r>
      <w:proofErr w:type="gramEnd"/>
      <w:r w:rsidR="00D54E52">
        <w:rPr>
          <w:rFonts w:ascii="Times New Roman" w:hAnsi="Times New Roman" w:cs="Times New Roman"/>
          <w:sz w:val="24"/>
          <w:szCs w:val="24"/>
        </w:rPr>
        <w:t xml:space="preserve"> </w:t>
      </w:r>
      <w:proofErr w:type="spellStart"/>
      <w:r w:rsidR="00D54E52">
        <w:rPr>
          <w:rFonts w:ascii="Times New Roman" w:hAnsi="Times New Roman" w:cs="Times New Roman"/>
          <w:sz w:val="24"/>
          <w:szCs w:val="24"/>
        </w:rPr>
        <w:t>Ki</w:t>
      </w:r>
      <w:r w:rsidR="00B4351D">
        <w:rPr>
          <w:rFonts w:ascii="Times New Roman" w:hAnsi="Times New Roman" w:cs="Times New Roman"/>
          <w:sz w:val="24"/>
          <w:szCs w:val="24"/>
        </w:rPr>
        <w:t>sgen</w:t>
      </w:r>
      <w:proofErr w:type="spellEnd"/>
      <w:r w:rsidR="00B4351D">
        <w:rPr>
          <w:rFonts w:ascii="Times New Roman" w:hAnsi="Times New Roman" w:cs="Times New Roman"/>
          <w:sz w:val="24"/>
          <w:szCs w:val="24"/>
        </w:rPr>
        <w:t xml:space="preserve"> (2006)</w:t>
      </w:r>
      <w:r w:rsidR="00D54E52">
        <w:rPr>
          <w:rFonts w:ascii="Times New Roman" w:hAnsi="Times New Roman" w:cs="Times New Roman"/>
          <w:sz w:val="24"/>
          <w:szCs w:val="24"/>
        </w:rPr>
        <w:t xml:space="preserve">, we include </w:t>
      </w:r>
      <w:r w:rsidR="00B4351D">
        <w:rPr>
          <w:rFonts w:ascii="Times New Roman" w:hAnsi="Times New Roman" w:cs="Times New Roman"/>
          <w:sz w:val="24"/>
          <w:szCs w:val="24"/>
        </w:rPr>
        <w:t xml:space="preserve">financial companies and utilities </w:t>
      </w:r>
      <w:r w:rsidR="00D54E52">
        <w:rPr>
          <w:rFonts w:ascii="Times New Roman" w:hAnsi="Times New Roman" w:cs="Times New Roman"/>
          <w:sz w:val="24"/>
          <w:szCs w:val="24"/>
        </w:rPr>
        <w:t xml:space="preserve">in our sample as his results are robust </w:t>
      </w:r>
      <w:r w:rsidR="004D7CD0">
        <w:rPr>
          <w:rFonts w:ascii="Times New Roman" w:hAnsi="Times New Roman" w:cs="Times New Roman"/>
          <w:sz w:val="24"/>
          <w:szCs w:val="24"/>
        </w:rPr>
        <w:t xml:space="preserve">to the inclusion or exclusion of these firms in the analysis. </w:t>
      </w:r>
      <w:r w:rsidR="00B96892">
        <w:rPr>
          <w:rFonts w:ascii="Times New Roman" w:hAnsi="Times New Roman" w:cs="Times New Roman"/>
          <w:sz w:val="24"/>
          <w:szCs w:val="24"/>
        </w:rPr>
        <w:t xml:space="preserve"> </w:t>
      </w:r>
      <w:r w:rsidR="00C409FA">
        <w:rPr>
          <w:rFonts w:ascii="Times New Roman" w:hAnsi="Times New Roman" w:cs="Times New Roman"/>
          <w:sz w:val="24"/>
          <w:szCs w:val="24"/>
        </w:rPr>
        <w:t xml:space="preserve">From </w:t>
      </w:r>
      <w:r w:rsidR="00B045E2">
        <w:rPr>
          <w:rFonts w:ascii="Times New Roman" w:hAnsi="Times New Roman" w:cs="Times New Roman"/>
          <w:sz w:val="24"/>
          <w:szCs w:val="24"/>
        </w:rPr>
        <w:t xml:space="preserve">this database, </w:t>
      </w:r>
      <w:r w:rsidR="00C409FA">
        <w:rPr>
          <w:rFonts w:ascii="Times New Roman" w:hAnsi="Times New Roman" w:cs="Times New Roman"/>
          <w:sz w:val="24"/>
          <w:szCs w:val="24"/>
        </w:rPr>
        <w:t xml:space="preserve">the </w:t>
      </w:r>
      <w:r w:rsidR="00163328">
        <w:rPr>
          <w:rFonts w:ascii="Times New Roman" w:hAnsi="Times New Roman" w:cs="Times New Roman"/>
          <w:sz w:val="24"/>
          <w:szCs w:val="24"/>
        </w:rPr>
        <w:t xml:space="preserve">months associated with changes in </w:t>
      </w:r>
      <w:r w:rsidR="00C409FA">
        <w:rPr>
          <w:rFonts w:ascii="Times New Roman" w:hAnsi="Times New Roman" w:cs="Times New Roman"/>
          <w:sz w:val="24"/>
          <w:szCs w:val="24"/>
        </w:rPr>
        <w:t xml:space="preserve">ratings </w:t>
      </w:r>
      <w:r w:rsidR="00D02F7F">
        <w:rPr>
          <w:rFonts w:ascii="Times New Roman" w:hAnsi="Times New Roman" w:cs="Times New Roman"/>
          <w:sz w:val="24"/>
          <w:szCs w:val="24"/>
        </w:rPr>
        <w:t xml:space="preserve">both coinciding with and </w:t>
      </w:r>
      <w:r w:rsidR="00C409FA">
        <w:rPr>
          <w:rFonts w:ascii="Times New Roman" w:hAnsi="Times New Roman" w:cs="Times New Roman"/>
          <w:sz w:val="24"/>
          <w:szCs w:val="24"/>
        </w:rPr>
        <w:t>independent of CW placement</w:t>
      </w:r>
      <w:r w:rsidR="00D02F7F">
        <w:rPr>
          <w:rFonts w:ascii="Times New Roman" w:hAnsi="Times New Roman" w:cs="Times New Roman"/>
          <w:sz w:val="24"/>
          <w:szCs w:val="24"/>
        </w:rPr>
        <w:t xml:space="preserve"> months</w:t>
      </w:r>
      <w:r w:rsidR="00C409FA">
        <w:rPr>
          <w:rFonts w:ascii="Times New Roman" w:hAnsi="Times New Roman" w:cs="Times New Roman"/>
          <w:sz w:val="24"/>
          <w:szCs w:val="24"/>
        </w:rPr>
        <w:t xml:space="preserve"> by S&amp;P </w:t>
      </w:r>
      <w:r w:rsidR="00D02F7F">
        <w:rPr>
          <w:rFonts w:ascii="Times New Roman" w:hAnsi="Times New Roman" w:cs="Times New Roman"/>
          <w:sz w:val="24"/>
          <w:szCs w:val="24"/>
        </w:rPr>
        <w:t xml:space="preserve">for all contained firms are </w:t>
      </w:r>
      <w:r w:rsidR="00C409FA">
        <w:rPr>
          <w:rFonts w:ascii="Times New Roman" w:hAnsi="Times New Roman" w:cs="Times New Roman"/>
          <w:sz w:val="24"/>
          <w:szCs w:val="24"/>
        </w:rPr>
        <w:t>identified</w:t>
      </w:r>
      <w:r w:rsidR="00D02F7F">
        <w:rPr>
          <w:rFonts w:ascii="Times New Roman" w:hAnsi="Times New Roman" w:cs="Times New Roman"/>
          <w:sz w:val="24"/>
          <w:szCs w:val="24"/>
        </w:rPr>
        <w:t xml:space="preserve">.  </w:t>
      </w:r>
      <w:r w:rsidR="00C409FA">
        <w:rPr>
          <w:rFonts w:ascii="Times New Roman" w:hAnsi="Times New Roman" w:cs="Times New Roman"/>
          <w:sz w:val="24"/>
          <w:szCs w:val="24"/>
        </w:rPr>
        <w:t xml:space="preserve">Next, CW placement </w:t>
      </w:r>
      <w:r w:rsidR="00A13DE7">
        <w:rPr>
          <w:rFonts w:ascii="Times New Roman" w:hAnsi="Times New Roman" w:cs="Times New Roman"/>
          <w:sz w:val="24"/>
          <w:szCs w:val="24"/>
        </w:rPr>
        <w:t xml:space="preserve">data </w:t>
      </w:r>
      <w:r w:rsidR="00B045E2">
        <w:rPr>
          <w:rFonts w:ascii="Times New Roman" w:hAnsi="Times New Roman" w:cs="Times New Roman"/>
          <w:sz w:val="24"/>
          <w:szCs w:val="24"/>
        </w:rPr>
        <w:t xml:space="preserve">prior to long-term entity rating updates </w:t>
      </w:r>
      <w:r w:rsidR="00C409FA">
        <w:rPr>
          <w:rFonts w:ascii="Times New Roman" w:hAnsi="Times New Roman" w:cs="Times New Roman"/>
          <w:sz w:val="24"/>
          <w:szCs w:val="24"/>
        </w:rPr>
        <w:t xml:space="preserve">are obtained from S&amp;P’s Capital IQ database available through WRDS.  </w:t>
      </w:r>
      <w:r w:rsidR="00B045E2">
        <w:rPr>
          <w:rFonts w:ascii="Times New Roman" w:hAnsi="Times New Roman" w:cs="Times New Roman"/>
          <w:sz w:val="24"/>
          <w:szCs w:val="24"/>
        </w:rPr>
        <w:t xml:space="preserve">Through comparing domestic long-term issuer credit ratings with long-term entity ratings, we ascertain the degree to which rating changes are accompanied </w:t>
      </w:r>
      <w:r w:rsidR="00B045E2">
        <w:rPr>
          <w:rFonts w:ascii="Times New Roman" w:hAnsi="Times New Roman" w:cs="Times New Roman"/>
          <w:sz w:val="24"/>
          <w:szCs w:val="24"/>
        </w:rPr>
        <w:lastRenderedPageBreak/>
        <w:t xml:space="preserve">by preceding </w:t>
      </w:r>
      <w:r w:rsidR="0016631A">
        <w:rPr>
          <w:rFonts w:ascii="Times New Roman" w:hAnsi="Times New Roman" w:cs="Times New Roman"/>
          <w:sz w:val="24"/>
          <w:szCs w:val="24"/>
        </w:rPr>
        <w:t>CW announcements</w:t>
      </w:r>
      <w:r w:rsidR="00B045E2">
        <w:rPr>
          <w:rFonts w:ascii="Times New Roman" w:hAnsi="Times New Roman" w:cs="Times New Roman"/>
          <w:sz w:val="24"/>
          <w:szCs w:val="24"/>
        </w:rPr>
        <w:t xml:space="preserve">.  </w:t>
      </w:r>
      <w:r w:rsidR="00C90963">
        <w:rPr>
          <w:rFonts w:ascii="Times New Roman" w:hAnsi="Times New Roman" w:cs="Times New Roman"/>
          <w:sz w:val="24"/>
          <w:szCs w:val="24"/>
        </w:rPr>
        <w:t>Looking back over the past 180 days, we i</w:t>
      </w:r>
      <w:r w:rsidR="004A7EB3">
        <w:rPr>
          <w:rFonts w:ascii="Times New Roman" w:hAnsi="Times New Roman" w:cs="Times New Roman"/>
          <w:sz w:val="24"/>
          <w:szCs w:val="24"/>
        </w:rPr>
        <w:t>dentif</w:t>
      </w:r>
      <w:r w:rsidR="00C90963">
        <w:rPr>
          <w:rFonts w:ascii="Times New Roman" w:hAnsi="Times New Roman" w:cs="Times New Roman"/>
          <w:sz w:val="24"/>
          <w:szCs w:val="24"/>
        </w:rPr>
        <w:t xml:space="preserve">y and use </w:t>
      </w:r>
      <w:r w:rsidR="004A7EB3">
        <w:rPr>
          <w:rFonts w:ascii="Times New Roman" w:hAnsi="Times New Roman" w:cs="Times New Roman"/>
          <w:sz w:val="24"/>
          <w:szCs w:val="24"/>
        </w:rPr>
        <w:t xml:space="preserve">the </w:t>
      </w:r>
      <w:r w:rsidR="007E0BC9">
        <w:rPr>
          <w:rFonts w:ascii="Times New Roman" w:hAnsi="Times New Roman" w:cs="Times New Roman"/>
          <w:sz w:val="24"/>
          <w:szCs w:val="24"/>
        </w:rPr>
        <w:t>earliest possible CW placement date</w:t>
      </w:r>
      <w:r w:rsidR="00C90963">
        <w:rPr>
          <w:rFonts w:ascii="Times New Roman" w:hAnsi="Times New Roman" w:cs="Times New Roman"/>
          <w:sz w:val="24"/>
          <w:szCs w:val="24"/>
        </w:rPr>
        <w:t xml:space="preserve"> </w:t>
      </w:r>
      <w:r w:rsidR="00A03D29">
        <w:rPr>
          <w:rFonts w:ascii="Times New Roman" w:hAnsi="Times New Roman" w:cs="Times New Roman"/>
          <w:sz w:val="24"/>
          <w:szCs w:val="24"/>
        </w:rPr>
        <w:t xml:space="preserve">consistent in direction with the subsequent rating </w:t>
      </w:r>
      <w:r w:rsidR="00C90963">
        <w:rPr>
          <w:rFonts w:ascii="Times New Roman" w:hAnsi="Times New Roman" w:cs="Times New Roman"/>
          <w:sz w:val="24"/>
          <w:szCs w:val="24"/>
        </w:rPr>
        <w:t xml:space="preserve">change </w:t>
      </w:r>
      <w:r w:rsidR="000F4DAA">
        <w:rPr>
          <w:rFonts w:ascii="Times New Roman" w:hAnsi="Times New Roman" w:cs="Times New Roman"/>
          <w:sz w:val="24"/>
          <w:szCs w:val="24"/>
        </w:rPr>
        <w:t xml:space="preserve">insofar </w:t>
      </w:r>
      <w:r w:rsidR="00C90963">
        <w:rPr>
          <w:rFonts w:ascii="Times New Roman" w:hAnsi="Times New Roman" w:cs="Times New Roman"/>
          <w:sz w:val="24"/>
          <w:szCs w:val="24"/>
        </w:rPr>
        <w:t xml:space="preserve">as there </w:t>
      </w:r>
      <w:r w:rsidR="00A03D29">
        <w:rPr>
          <w:rFonts w:ascii="Times New Roman" w:hAnsi="Times New Roman" w:cs="Times New Roman"/>
          <w:sz w:val="24"/>
          <w:szCs w:val="24"/>
        </w:rPr>
        <w:t xml:space="preserve">is no other intervening </w:t>
      </w:r>
      <w:r w:rsidR="00C90963">
        <w:rPr>
          <w:rFonts w:ascii="Times New Roman" w:hAnsi="Times New Roman" w:cs="Times New Roman"/>
          <w:sz w:val="24"/>
          <w:szCs w:val="24"/>
        </w:rPr>
        <w:t>rating change.</w:t>
      </w:r>
    </w:p>
    <w:p w14:paraId="511C6979" w14:textId="237F8588" w:rsidR="00FC0910" w:rsidRDefault="00A876B3"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Assuming that </w:t>
      </w:r>
      <w:r w:rsidRPr="00E31984">
        <w:rPr>
          <w:rFonts w:ascii="Times New Roman" w:hAnsi="Times New Roman" w:cs="Times New Roman"/>
          <w:sz w:val="24"/>
          <w:szCs w:val="24"/>
        </w:rPr>
        <w:t>managerial motiv</w:t>
      </w:r>
      <w:r>
        <w:rPr>
          <w:rFonts w:ascii="Times New Roman" w:hAnsi="Times New Roman" w:cs="Times New Roman"/>
          <w:sz w:val="24"/>
          <w:szCs w:val="24"/>
        </w:rPr>
        <w:t>es</w:t>
      </w:r>
      <w:r w:rsidRPr="00E31984">
        <w:rPr>
          <w:rFonts w:ascii="Times New Roman" w:hAnsi="Times New Roman" w:cs="Times New Roman"/>
          <w:sz w:val="24"/>
          <w:szCs w:val="24"/>
        </w:rPr>
        <w:t xml:space="preserve"> are adequately reflected through changes </w:t>
      </w:r>
      <w:r>
        <w:rPr>
          <w:rFonts w:ascii="Times New Roman" w:hAnsi="Times New Roman" w:cs="Times New Roman"/>
          <w:sz w:val="24"/>
          <w:szCs w:val="24"/>
        </w:rPr>
        <w:t xml:space="preserve">in relative </w:t>
      </w:r>
      <w:r w:rsidRPr="00E31984">
        <w:rPr>
          <w:rFonts w:ascii="Times New Roman" w:hAnsi="Times New Roman" w:cs="Times New Roman"/>
          <w:sz w:val="24"/>
          <w:szCs w:val="24"/>
        </w:rPr>
        <w:t xml:space="preserve">debt </w:t>
      </w:r>
      <w:r w:rsidR="00F80418">
        <w:rPr>
          <w:rFonts w:ascii="Times New Roman" w:hAnsi="Times New Roman" w:cs="Times New Roman"/>
          <w:sz w:val="24"/>
          <w:szCs w:val="24"/>
        </w:rPr>
        <w:t>structures,</w:t>
      </w:r>
      <w:r>
        <w:rPr>
          <w:rFonts w:ascii="Times New Roman" w:hAnsi="Times New Roman" w:cs="Times New Roman"/>
          <w:sz w:val="24"/>
          <w:szCs w:val="24"/>
        </w:rPr>
        <w:t xml:space="preserve"> we examine these changes PRE and POST around the rating change process.  </w:t>
      </w:r>
      <w:r w:rsidR="00142625">
        <w:rPr>
          <w:rFonts w:ascii="Times New Roman" w:hAnsi="Times New Roman" w:cs="Times New Roman"/>
          <w:sz w:val="24"/>
          <w:szCs w:val="24"/>
        </w:rPr>
        <w:t>W</w:t>
      </w:r>
      <w:r>
        <w:rPr>
          <w:rFonts w:ascii="Times New Roman" w:hAnsi="Times New Roman" w:cs="Times New Roman"/>
          <w:sz w:val="24"/>
          <w:szCs w:val="24"/>
        </w:rPr>
        <w:t xml:space="preserve">e </w:t>
      </w:r>
      <w:r w:rsidR="007D6E65">
        <w:rPr>
          <w:rFonts w:ascii="Times New Roman" w:hAnsi="Times New Roman" w:cs="Times New Roman"/>
          <w:sz w:val="24"/>
          <w:szCs w:val="24"/>
        </w:rPr>
        <w:t xml:space="preserve">use quarterly measures of balance sheet items as opposed to annual items </w:t>
      </w:r>
      <w:r w:rsidR="00433944">
        <w:rPr>
          <w:rFonts w:ascii="Times New Roman" w:hAnsi="Times New Roman" w:cs="Times New Roman"/>
          <w:sz w:val="24"/>
          <w:szCs w:val="24"/>
        </w:rPr>
        <w:t xml:space="preserve">to </w:t>
      </w:r>
      <w:r w:rsidR="007D6E65">
        <w:rPr>
          <w:rFonts w:ascii="Times New Roman" w:hAnsi="Times New Roman" w:cs="Times New Roman"/>
          <w:sz w:val="24"/>
          <w:szCs w:val="24"/>
        </w:rPr>
        <w:t xml:space="preserve">focus on changes in relative debt measures over time surrounding the rating change process </w:t>
      </w:r>
      <w:r w:rsidR="00FC0910">
        <w:rPr>
          <w:rFonts w:ascii="Times New Roman" w:hAnsi="Times New Roman" w:cs="Times New Roman"/>
          <w:sz w:val="24"/>
          <w:szCs w:val="24"/>
        </w:rPr>
        <w:t xml:space="preserve">for firms distinguished by the presence or absence of prior CW announcements.  Further, we allow for the distinction between firms with and without rating changes and focus on how </w:t>
      </w:r>
      <w:r w:rsidR="00BA7056">
        <w:rPr>
          <w:rFonts w:ascii="Times New Roman" w:hAnsi="Times New Roman" w:cs="Times New Roman"/>
          <w:sz w:val="24"/>
          <w:szCs w:val="24"/>
        </w:rPr>
        <w:t>net debt adjustments are related to forthcoming rating changes.</w:t>
      </w:r>
      <w:r>
        <w:rPr>
          <w:rFonts w:ascii="Times New Roman" w:hAnsi="Times New Roman" w:cs="Times New Roman"/>
          <w:sz w:val="24"/>
          <w:szCs w:val="24"/>
        </w:rPr>
        <w:t xml:space="preserve">  </w:t>
      </w:r>
    </w:p>
    <w:p w14:paraId="53901396" w14:textId="2304BEF7" w:rsidR="00234706" w:rsidRPr="00151A35" w:rsidRDefault="00696F30"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Relative debt </w:t>
      </w:r>
      <w:r w:rsidR="00580759">
        <w:rPr>
          <w:rFonts w:ascii="Times New Roman" w:hAnsi="Times New Roman" w:cs="Times New Roman"/>
          <w:sz w:val="24"/>
          <w:szCs w:val="24"/>
        </w:rPr>
        <w:t xml:space="preserve">structure changes </w:t>
      </w:r>
      <w:r w:rsidR="007118BD">
        <w:rPr>
          <w:rFonts w:ascii="Times New Roman" w:hAnsi="Times New Roman" w:cs="Times New Roman"/>
          <w:sz w:val="24"/>
          <w:szCs w:val="24"/>
        </w:rPr>
        <w:t xml:space="preserve">surrounding the rating </w:t>
      </w:r>
      <w:r w:rsidR="00D47EAD">
        <w:rPr>
          <w:rFonts w:ascii="Times New Roman" w:hAnsi="Times New Roman" w:cs="Times New Roman"/>
          <w:sz w:val="24"/>
          <w:szCs w:val="24"/>
        </w:rPr>
        <w:t xml:space="preserve">change </w:t>
      </w:r>
      <w:r w:rsidR="007118BD">
        <w:rPr>
          <w:rFonts w:ascii="Times New Roman" w:hAnsi="Times New Roman" w:cs="Times New Roman"/>
          <w:sz w:val="24"/>
          <w:szCs w:val="24"/>
        </w:rPr>
        <w:t>process</w:t>
      </w:r>
      <w:r>
        <w:rPr>
          <w:rFonts w:ascii="Times New Roman" w:hAnsi="Times New Roman" w:cs="Times New Roman"/>
          <w:sz w:val="24"/>
          <w:szCs w:val="24"/>
        </w:rPr>
        <w:t xml:space="preserve"> are obtained using </w:t>
      </w:r>
      <w:r w:rsidR="00D47EAD">
        <w:rPr>
          <w:rFonts w:ascii="Times New Roman" w:hAnsi="Times New Roman" w:cs="Times New Roman"/>
          <w:sz w:val="24"/>
          <w:szCs w:val="24"/>
        </w:rPr>
        <w:t xml:space="preserve">quarterly </w:t>
      </w:r>
      <w:r w:rsidR="009E31FD">
        <w:rPr>
          <w:rFonts w:ascii="Times New Roman" w:hAnsi="Times New Roman" w:cs="Times New Roman"/>
          <w:sz w:val="24"/>
          <w:szCs w:val="24"/>
        </w:rPr>
        <w:t>b</w:t>
      </w:r>
      <w:r w:rsidR="00880C07">
        <w:rPr>
          <w:rFonts w:ascii="Times New Roman" w:hAnsi="Times New Roman" w:cs="Times New Roman"/>
          <w:sz w:val="24"/>
          <w:szCs w:val="24"/>
        </w:rPr>
        <w:t xml:space="preserve">alance sheet data </w:t>
      </w:r>
      <w:r w:rsidR="009E31FD">
        <w:rPr>
          <w:rFonts w:ascii="Times New Roman" w:hAnsi="Times New Roman" w:cs="Times New Roman"/>
          <w:sz w:val="24"/>
          <w:szCs w:val="24"/>
        </w:rPr>
        <w:t xml:space="preserve">from </w:t>
      </w:r>
      <w:proofErr w:type="spellStart"/>
      <w:r w:rsidR="009E31FD">
        <w:rPr>
          <w:rFonts w:ascii="Times New Roman" w:hAnsi="Times New Roman" w:cs="Times New Roman"/>
          <w:sz w:val="24"/>
          <w:szCs w:val="24"/>
        </w:rPr>
        <w:t>Compustat</w:t>
      </w:r>
      <w:proofErr w:type="spellEnd"/>
      <w:r w:rsidR="00D47EAD">
        <w:rPr>
          <w:rFonts w:ascii="Times New Roman" w:hAnsi="Times New Roman" w:cs="Times New Roman"/>
          <w:sz w:val="24"/>
          <w:szCs w:val="24"/>
        </w:rPr>
        <w:t xml:space="preserve"> for </w:t>
      </w:r>
      <w:r w:rsidR="006A618E">
        <w:rPr>
          <w:rFonts w:ascii="Times New Roman" w:hAnsi="Times New Roman" w:cs="Times New Roman"/>
          <w:sz w:val="24"/>
          <w:szCs w:val="24"/>
        </w:rPr>
        <w:t>three</w:t>
      </w:r>
      <w:r w:rsidR="00D47EAD">
        <w:rPr>
          <w:rFonts w:ascii="Times New Roman" w:hAnsi="Times New Roman" w:cs="Times New Roman"/>
          <w:sz w:val="24"/>
          <w:szCs w:val="24"/>
        </w:rPr>
        <w:t xml:space="preserve"> reasons</w:t>
      </w:r>
      <w:r w:rsidR="009E31FD">
        <w:rPr>
          <w:rFonts w:ascii="Times New Roman" w:hAnsi="Times New Roman" w:cs="Times New Roman"/>
          <w:sz w:val="24"/>
          <w:szCs w:val="24"/>
        </w:rPr>
        <w:t xml:space="preserve">.  </w:t>
      </w:r>
      <w:r w:rsidR="00D47EAD">
        <w:rPr>
          <w:rFonts w:ascii="Times New Roman" w:hAnsi="Times New Roman" w:cs="Times New Roman"/>
          <w:sz w:val="24"/>
          <w:szCs w:val="24"/>
        </w:rPr>
        <w:t>First, S&amp;P uses book value measures more than market value measures to assess default probabilities (</w:t>
      </w:r>
      <w:r w:rsidR="00D47EAD" w:rsidRPr="00191DA4">
        <w:rPr>
          <w:rFonts w:ascii="Times New Roman" w:hAnsi="Times New Roman" w:cs="Times New Roman"/>
          <w:sz w:val="24"/>
          <w:szCs w:val="24"/>
        </w:rPr>
        <w:t>Standard and Poor’s (2001b)</w:t>
      </w:r>
      <w:r w:rsidR="00D47EAD">
        <w:rPr>
          <w:rFonts w:ascii="Times New Roman" w:hAnsi="Times New Roman" w:cs="Times New Roman"/>
          <w:sz w:val="24"/>
          <w:szCs w:val="24"/>
        </w:rPr>
        <w:t xml:space="preserve">).  Second, quarterly numbers allow us to </w:t>
      </w:r>
      <w:proofErr w:type="gramStart"/>
      <w:r w:rsidR="00D47EAD">
        <w:rPr>
          <w:rFonts w:ascii="Times New Roman" w:hAnsi="Times New Roman" w:cs="Times New Roman"/>
          <w:sz w:val="24"/>
          <w:szCs w:val="24"/>
        </w:rPr>
        <w:t>more accurately detect</w:t>
      </w:r>
      <w:proofErr w:type="gramEnd"/>
      <w:r w:rsidR="00D47EAD">
        <w:rPr>
          <w:rFonts w:ascii="Times New Roman" w:hAnsi="Times New Roman" w:cs="Times New Roman"/>
          <w:sz w:val="24"/>
          <w:szCs w:val="24"/>
        </w:rPr>
        <w:t xml:space="preserve"> </w:t>
      </w:r>
      <w:r w:rsidR="00580759">
        <w:rPr>
          <w:rFonts w:ascii="Times New Roman" w:hAnsi="Times New Roman" w:cs="Times New Roman"/>
          <w:sz w:val="24"/>
          <w:szCs w:val="24"/>
        </w:rPr>
        <w:t xml:space="preserve">systematic </w:t>
      </w:r>
      <w:r w:rsidR="00E125EC">
        <w:rPr>
          <w:rFonts w:ascii="Times New Roman" w:hAnsi="Times New Roman" w:cs="Times New Roman"/>
          <w:sz w:val="24"/>
          <w:szCs w:val="24"/>
        </w:rPr>
        <w:t xml:space="preserve">and trending </w:t>
      </w:r>
      <w:r w:rsidR="00D47EAD">
        <w:rPr>
          <w:rFonts w:ascii="Times New Roman" w:hAnsi="Times New Roman" w:cs="Times New Roman"/>
          <w:sz w:val="24"/>
          <w:szCs w:val="24"/>
        </w:rPr>
        <w:t xml:space="preserve">managerial action throughout the year in </w:t>
      </w:r>
      <w:r>
        <w:rPr>
          <w:rFonts w:ascii="Times New Roman" w:hAnsi="Times New Roman" w:cs="Times New Roman"/>
          <w:sz w:val="24"/>
          <w:szCs w:val="24"/>
        </w:rPr>
        <w:t xml:space="preserve">anticipation of and </w:t>
      </w:r>
      <w:r w:rsidR="00D47EAD">
        <w:rPr>
          <w:rFonts w:ascii="Times New Roman" w:hAnsi="Times New Roman" w:cs="Times New Roman"/>
          <w:sz w:val="24"/>
          <w:szCs w:val="24"/>
        </w:rPr>
        <w:t xml:space="preserve">response to credit rating process developments </w:t>
      </w:r>
      <w:r>
        <w:rPr>
          <w:rFonts w:ascii="Times New Roman" w:hAnsi="Times New Roman" w:cs="Times New Roman"/>
          <w:sz w:val="24"/>
          <w:szCs w:val="24"/>
        </w:rPr>
        <w:t xml:space="preserve">as well as to </w:t>
      </w:r>
      <w:r w:rsidR="00D47EAD">
        <w:rPr>
          <w:rFonts w:ascii="Times New Roman" w:hAnsi="Times New Roman" w:cs="Times New Roman"/>
          <w:sz w:val="24"/>
          <w:szCs w:val="24"/>
        </w:rPr>
        <w:t xml:space="preserve">reduce noise in statistical assessments.  </w:t>
      </w:r>
      <w:bookmarkStart w:id="10" w:name="_Hlk18243677"/>
      <w:r w:rsidR="006A618E">
        <w:rPr>
          <w:rFonts w:ascii="Times New Roman" w:hAnsi="Times New Roman" w:cs="Times New Roman"/>
          <w:sz w:val="24"/>
          <w:szCs w:val="24"/>
        </w:rPr>
        <w:t xml:space="preserve">Third, </w:t>
      </w:r>
      <w:proofErr w:type="spellStart"/>
      <w:r w:rsidR="006A618E">
        <w:rPr>
          <w:rFonts w:ascii="Times New Roman" w:hAnsi="Times New Roman" w:cs="Times New Roman"/>
          <w:sz w:val="24"/>
          <w:szCs w:val="24"/>
        </w:rPr>
        <w:t>Kisgen</w:t>
      </w:r>
      <w:proofErr w:type="spellEnd"/>
      <w:r w:rsidR="006A618E">
        <w:rPr>
          <w:rFonts w:ascii="Times New Roman" w:hAnsi="Times New Roman" w:cs="Times New Roman"/>
          <w:sz w:val="24"/>
          <w:szCs w:val="24"/>
        </w:rPr>
        <w:t xml:space="preserve"> (2006) finds that his results are robust regardless of whether balance sheet measures or cash flow variables are used in the computation of net issuance measures </w:t>
      </w:r>
      <w:r w:rsidR="00580759">
        <w:rPr>
          <w:rFonts w:ascii="Times New Roman" w:hAnsi="Times New Roman" w:cs="Times New Roman"/>
          <w:sz w:val="24"/>
          <w:szCs w:val="24"/>
        </w:rPr>
        <w:t>driving debt structure changes.</w:t>
      </w:r>
      <w:r w:rsidR="002B1A17">
        <w:rPr>
          <w:rFonts w:ascii="Times New Roman" w:hAnsi="Times New Roman" w:cs="Times New Roman"/>
          <w:sz w:val="24"/>
          <w:szCs w:val="24"/>
        </w:rPr>
        <w:t xml:space="preserve">  Thus, </w:t>
      </w:r>
      <w:r w:rsidR="00F30D2E">
        <w:rPr>
          <w:rFonts w:ascii="Times New Roman" w:hAnsi="Times New Roman" w:cs="Times New Roman"/>
          <w:sz w:val="24"/>
          <w:szCs w:val="24"/>
        </w:rPr>
        <w:t>we choose to wor</w:t>
      </w:r>
      <w:r w:rsidR="00951954">
        <w:rPr>
          <w:rFonts w:ascii="Times New Roman" w:hAnsi="Times New Roman" w:cs="Times New Roman"/>
          <w:sz w:val="24"/>
          <w:szCs w:val="24"/>
        </w:rPr>
        <w:t>k with balance sheet measures since</w:t>
      </w:r>
      <w:r w:rsidR="00F30D2E">
        <w:rPr>
          <w:rFonts w:ascii="Times New Roman" w:hAnsi="Times New Roman" w:cs="Times New Roman"/>
          <w:sz w:val="24"/>
          <w:szCs w:val="24"/>
        </w:rPr>
        <w:t xml:space="preserve"> cash flow variables are not as widely available for quarterly data as they are for annual data.  T</w:t>
      </w:r>
      <w:r w:rsidR="00151A35">
        <w:rPr>
          <w:rFonts w:ascii="Times New Roman" w:hAnsi="Times New Roman" w:cs="Times New Roman"/>
          <w:sz w:val="24"/>
          <w:szCs w:val="24"/>
        </w:rPr>
        <w:t xml:space="preserve">he primary relative debt </w:t>
      </w:r>
      <w:r>
        <w:rPr>
          <w:rFonts w:ascii="Times New Roman" w:hAnsi="Times New Roman" w:cs="Times New Roman"/>
          <w:sz w:val="24"/>
          <w:szCs w:val="24"/>
        </w:rPr>
        <w:t>measure</w:t>
      </w:r>
      <w:r w:rsidR="00151A35">
        <w:rPr>
          <w:rFonts w:ascii="Times New Roman" w:hAnsi="Times New Roman" w:cs="Times New Roman"/>
          <w:sz w:val="24"/>
          <w:szCs w:val="24"/>
        </w:rPr>
        <w:t>s</w:t>
      </w:r>
      <w:r>
        <w:rPr>
          <w:rFonts w:ascii="Times New Roman" w:hAnsi="Times New Roman" w:cs="Times New Roman"/>
          <w:sz w:val="24"/>
          <w:szCs w:val="24"/>
        </w:rPr>
        <w:t xml:space="preserve"> we use </w:t>
      </w:r>
      <w:r w:rsidR="00151A35" w:rsidRPr="00151A35">
        <w:rPr>
          <w:rFonts w:ascii="Times New Roman" w:hAnsi="Times New Roman" w:cs="Times New Roman"/>
          <w:sz w:val="24"/>
          <w:szCs w:val="24"/>
        </w:rPr>
        <w:t xml:space="preserve">are total debt and long-term debt as a percent of total assets, or </w:t>
      </w:r>
      <w:r w:rsidR="00EE318B" w:rsidRPr="00EE318B">
        <w:rPr>
          <w:rFonts w:ascii="Times New Roman" w:hAnsi="Times New Roman" w:cs="Times New Roman"/>
          <w:i/>
          <w:sz w:val="24"/>
          <w:szCs w:val="24"/>
        </w:rPr>
        <w:t>TD/TA</w:t>
      </w:r>
      <w:r w:rsidR="00151A35" w:rsidRPr="00151A35">
        <w:rPr>
          <w:rFonts w:ascii="Times New Roman" w:hAnsi="Times New Roman" w:cs="Times New Roman"/>
          <w:sz w:val="24"/>
          <w:szCs w:val="24"/>
        </w:rPr>
        <w:t xml:space="preserve"> and </w:t>
      </w:r>
      <w:r w:rsidR="00EE318B" w:rsidRPr="00EE318B">
        <w:rPr>
          <w:rFonts w:ascii="Times New Roman" w:hAnsi="Times New Roman" w:cs="Times New Roman"/>
          <w:i/>
          <w:sz w:val="24"/>
          <w:szCs w:val="24"/>
        </w:rPr>
        <w:t>LTD/TA</w:t>
      </w:r>
      <w:r w:rsidR="00151A35" w:rsidRPr="00151A35">
        <w:rPr>
          <w:rFonts w:ascii="Times New Roman" w:hAnsi="Times New Roman" w:cs="Times New Roman"/>
          <w:sz w:val="24"/>
          <w:szCs w:val="24"/>
        </w:rPr>
        <w:t>, respectively.</w:t>
      </w:r>
    </w:p>
    <w:p w14:paraId="12CA3215" w14:textId="4A3D51E3" w:rsidR="008B4050" w:rsidRPr="000C5CC7" w:rsidRDefault="00F96092" w:rsidP="00DE128B">
      <w:pPr>
        <w:spacing w:after="0" w:line="360" w:lineRule="auto"/>
        <w:ind w:firstLine="360"/>
        <w:rPr>
          <w:rFonts w:ascii="Times New Roman" w:hAnsi="Times New Roman" w:cs="Times New Roman"/>
          <w:color w:val="000000" w:themeColor="text1"/>
          <w:sz w:val="24"/>
          <w:szCs w:val="24"/>
        </w:rPr>
      </w:pPr>
      <w:r w:rsidRPr="00A0776E">
        <w:rPr>
          <w:rFonts w:ascii="Times New Roman" w:hAnsi="Times New Roman" w:cs="Times New Roman"/>
          <w:color w:val="000000" w:themeColor="text1"/>
          <w:sz w:val="24"/>
          <w:szCs w:val="24"/>
        </w:rPr>
        <w:t xml:space="preserve">In statistical tests and graphs that follow, </w:t>
      </w:r>
      <w:r w:rsidR="000B04B7" w:rsidRPr="00A0776E">
        <w:rPr>
          <w:rFonts w:ascii="Times New Roman" w:hAnsi="Times New Roman" w:cs="Times New Roman"/>
          <w:color w:val="000000" w:themeColor="text1"/>
          <w:sz w:val="24"/>
          <w:szCs w:val="24"/>
        </w:rPr>
        <w:t xml:space="preserve">variables used to control for leverage, profitability, and size, respectively, include </w:t>
      </w:r>
      <w:proofErr w:type="gramStart"/>
      <w:r w:rsidR="000B04B7" w:rsidRPr="00A0776E">
        <w:rPr>
          <w:rFonts w:ascii="Times New Roman" w:hAnsi="Times New Roman" w:cs="Times New Roman"/>
          <w:i/>
          <w:iCs/>
          <w:color w:val="000000" w:themeColor="text1"/>
          <w:sz w:val="24"/>
          <w:szCs w:val="24"/>
        </w:rPr>
        <w:t>TD</w:t>
      </w:r>
      <w:r w:rsidR="000B04B7" w:rsidRPr="00A0776E">
        <w:rPr>
          <w:rFonts w:ascii="Times New Roman" w:hAnsi="Times New Roman" w:cs="Times New Roman"/>
          <w:i/>
          <w:iCs/>
          <w:color w:val="000000" w:themeColor="text1"/>
          <w:sz w:val="24"/>
          <w:szCs w:val="24"/>
          <w:vertAlign w:val="subscript"/>
        </w:rPr>
        <w:t>i,t</w:t>
      </w:r>
      <w:proofErr w:type="gramEnd"/>
      <w:r w:rsidR="000B04B7" w:rsidRPr="00A0776E">
        <w:rPr>
          <w:rFonts w:ascii="Times New Roman" w:hAnsi="Times New Roman" w:cs="Times New Roman"/>
          <w:i/>
          <w:iCs/>
          <w:color w:val="000000" w:themeColor="text1"/>
          <w:sz w:val="24"/>
          <w:szCs w:val="24"/>
          <w:vertAlign w:val="subscript"/>
        </w:rPr>
        <w:t>-1</w:t>
      </w:r>
      <w:r w:rsidR="000B04B7" w:rsidRPr="00A0776E">
        <w:rPr>
          <w:rFonts w:ascii="Times New Roman" w:hAnsi="Times New Roman" w:cs="Times New Roman"/>
          <w:i/>
          <w:iCs/>
          <w:color w:val="000000" w:themeColor="text1"/>
          <w:sz w:val="24"/>
          <w:szCs w:val="24"/>
        </w:rPr>
        <w:t>/TA</w:t>
      </w:r>
      <w:r w:rsidR="000B04B7" w:rsidRPr="00A0776E">
        <w:rPr>
          <w:rFonts w:ascii="Times New Roman" w:hAnsi="Times New Roman" w:cs="Times New Roman"/>
          <w:i/>
          <w:iCs/>
          <w:color w:val="000000" w:themeColor="text1"/>
          <w:sz w:val="24"/>
          <w:szCs w:val="24"/>
          <w:vertAlign w:val="subscript"/>
        </w:rPr>
        <w:t>i,t-1</w:t>
      </w:r>
      <w:r w:rsidR="000B04B7" w:rsidRPr="00A0776E">
        <w:rPr>
          <w:rFonts w:ascii="Times New Roman" w:hAnsi="Times New Roman" w:cs="Times New Roman"/>
          <w:color w:val="000000" w:themeColor="text1"/>
          <w:sz w:val="24"/>
          <w:szCs w:val="24"/>
        </w:rPr>
        <w:t xml:space="preserve">, </w:t>
      </w:r>
      <w:r w:rsidR="000B04B7" w:rsidRPr="00A0776E">
        <w:rPr>
          <w:rFonts w:ascii="Times New Roman" w:hAnsi="Times New Roman" w:cs="Times New Roman"/>
          <w:i/>
          <w:iCs/>
          <w:color w:val="000000" w:themeColor="text1"/>
          <w:sz w:val="24"/>
          <w:szCs w:val="24"/>
        </w:rPr>
        <w:t>EBITDA</w:t>
      </w:r>
      <w:r w:rsidR="000B04B7" w:rsidRPr="00A0776E">
        <w:rPr>
          <w:rFonts w:ascii="Times New Roman" w:hAnsi="Times New Roman" w:cs="Times New Roman"/>
          <w:i/>
          <w:iCs/>
          <w:color w:val="000000" w:themeColor="text1"/>
          <w:sz w:val="24"/>
          <w:szCs w:val="24"/>
          <w:vertAlign w:val="subscript"/>
        </w:rPr>
        <w:t>i,t-1</w:t>
      </w:r>
      <w:r w:rsidR="000B04B7" w:rsidRPr="00A0776E">
        <w:rPr>
          <w:rFonts w:ascii="Times New Roman" w:hAnsi="Times New Roman" w:cs="Times New Roman"/>
          <w:i/>
          <w:iCs/>
          <w:color w:val="000000" w:themeColor="text1"/>
          <w:sz w:val="24"/>
          <w:szCs w:val="24"/>
        </w:rPr>
        <w:t>/TA</w:t>
      </w:r>
      <w:r w:rsidR="000B04B7" w:rsidRPr="00A0776E">
        <w:rPr>
          <w:rFonts w:ascii="Times New Roman" w:hAnsi="Times New Roman" w:cs="Times New Roman"/>
          <w:i/>
          <w:iCs/>
          <w:color w:val="000000" w:themeColor="text1"/>
          <w:sz w:val="24"/>
          <w:szCs w:val="24"/>
          <w:vertAlign w:val="subscript"/>
        </w:rPr>
        <w:t>i,t-1</w:t>
      </w:r>
      <w:r w:rsidR="000B04B7" w:rsidRPr="00A0776E">
        <w:rPr>
          <w:rFonts w:ascii="Times New Roman" w:hAnsi="Times New Roman" w:cs="Times New Roman"/>
          <w:color w:val="000000" w:themeColor="text1"/>
          <w:sz w:val="24"/>
          <w:szCs w:val="24"/>
          <w:vertAlign w:val="subscript"/>
        </w:rPr>
        <w:t xml:space="preserve"> </w:t>
      </w:r>
      <w:r w:rsidR="000B04B7" w:rsidRPr="00A0776E">
        <w:rPr>
          <w:rFonts w:ascii="Times New Roman" w:hAnsi="Times New Roman" w:cs="Times New Roman"/>
          <w:color w:val="000000" w:themeColor="text1"/>
          <w:sz w:val="24"/>
          <w:szCs w:val="24"/>
        </w:rPr>
        <w:t xml:space="preserve">(where </w:t>
      </w:r>
      <w:r w:rsidR="000B04B7" w:rsidRPr="00A0776E">
        <w:rPr>
          <w:rFonts w:ascii="Times New Roman" w:hAnsi="Times New Roman" w:cs="Times New Roman"/>
          <w:i/>
          <w:iCs/>
          <w:color w:val="000000" w:themeColor="text1"/>
          <w:sz w:val="24"/>
          <w:szCs w:val="24"/>
        </w:rPr>
        <w:t>EBITDA</w:t>
      </w:r>
      <w:r w:rsidR="000B04B7" w:rsidRPr="00A0776E">
        <w:rPr>
          <w:rFonts w:ascii="Times New Roman" w:hAnsi="Times New Roman" w:cs="Times New Roman"/>
          <w:color w:val="000000" w:themeColor="text1"/>
          <w:sz w:val="24"/>
          <w:szCs w:val="24"/>
        </w:rPr>
        <w:t xml:space="preserve"> is sales (</w:t>
      </w:r>
      <w:r w:rsidR="000B04B7" w:rsidRPr="00A0776E">
        <w:rPr>
          <w:rFonts w:ascii="Times New Roman" w:hAnsi="Times New Roman" w:cs="Times New Roman"/>
          <w:i/>
          <w:iCs/>
          <w:color w:val="000000" w:themeColor="text1"/>
          <w:sz w:val="24"/>
          <w:szCs w:val="24"/>
        </w:rPr>
        <w:t>SALEQ</w:t>
      </w:r>
      <w:r w:rsidR="000B04B7" w:rsidRPr="00A0776E">
        <w:rPr>
          <w:rFonts w:ascii="Times New Roman" w:hAnsi="Times New Roman" w:cs="Times New Roman"/>
          <w:color w:val="000000" w:themeColor="text1"/>
          <w:sz w:val="24"/>
          <w:szCs w:val="24"/>
        </w:rPr>
        <w:t>) less cost of goods sold (</w:t>
      </w:r>
      <w:r w:rsidR="000B04B7" w:rsidRPr="00A0776E">
        <w:rPr>
          <w:rFonts w:ascii="Times New Roman" w:hAnsi="Times New Roman" w:cs="Times New Roman"/>
          <w:i/>
          <w:iCs/>
          <w:color w:val="000000" w:themeColor="text1"/>
          <w:sz w:val="24"/>
          <w:szCs w:val="24"/>
        </w:rPr>
        <w:t>COGSQ</w:t>
      </w:r>
      <w:r w:rsidR="000B04B7" w:rsidRPr="00A0776E">
        <w:rPr>
          <w:rFonts w:ascii="Times New Roman" w:hAnsi="Times New Roman" w:cs="Times New Roman"/>
          <w:color w:val="000000" w:themeColor="text1"/>
          <w:sz w:val="24"/>
          <w:szCs w:val="24"/>
        </w:rPr>
        <w:t>) less selling, general, and administrative expense (</w:t>
      </w:r>
      <w:r w:rsidR="000B04B7" w:rsidRPr="00A0776E">
        <w:rPr>
          <w:rFonts w:ascii="Times New Roman" w:hAnsi="Times New Roman" w:cs="Times New Roman"/>
          <w:i/>
          <w:iCs/>
          <w:color w:val="000000" w:themeColor="text1"/>
          <w:sz w:val="24"/>
          <w:szCs w:val="24"/>
        </w:rPr>
        <w:t>XSGAQ</w:t>
      </w:r>
      <w:r w:rsidR="000B04B7" w:rsidRPr="00A0776E">
        <w:rPr>
          <w:rFonts w:ascii="Times New Roman" w:hAnsi="Times New Roman" w:cs="Times New Roman"/>
          <w:color w:val="000000" w:themeColor="text1"/>
          <w:sz w:val="24"/>
          <w:szCs w:val="24"/>
        </w:rPr>
        <w:t>)), and ln(</w:t>
      </w:r>
      <w:proofErr w:type="spellStart"/>
      <w:r w:rsidR="000B04B7" w:rsidRPr="00A0776E">
        <w:rPr>
          <w:rFonts w:ascii="Times New Roman" w:hAnsi="Times New Roman" w:cs="Times New Roman"/>
          <w:i/>
          <w:iCs/>
          <w:color w:val="000000" w:themeColor="text1"/>
          <w:sz w:val="24"/>
          <w:szCs w:val="24"/>
        </w:rPr>
        <w:t>SALEQ</w:t>
      </w:r>
      <w:r w:rsidR="000B04B7" w:rsidRPr="00A0776E">
        <w:rPr>
          <w:rFonts w:ascii="Times New Roman" w:hAnsi="Times New Roman" w:cs="Times New Roman"/>
          <w:i/>
          <w:iCs/>
          <w:color w:val="000000" w:themeColor="text1"/>
          <w:sz w:val="24"/>
          <w:szCs w:val="24"/>
          <w:vertAlign w:val="subscript"/>
        </w:rPr>
        <w:t>i,t</w:t>
      </w:r>
      <w:proofErr w:type="spellEnd"/>
      <w:r w:rsidR="000B04B7" w:rsidRPr="00A0776E">
        <w:rPr>
          <w:rFonts w:ascii="Times New Roman" w:hAnsi="Times New Roman" w:cs="Times New Roman"/>
          <w:i/>
          <w:iCs/>
          <w:color w:val="000000" w:themeColor="text1"/>
          <w:sz w:val="24"/>
          <w:szCs w:val="24"/>
          <w:vertAlign w:val="subscript"/>
        </w:rPr>
        <w:t>-l</w:t>
      </w:r>
      <w:r w:rsidR="000B04B7" w:rsidRPr="00A0776E">
        <w:rPr>
          <w:rFonts w:ascii="Times New Roman" w:hAnsi="Times New Roman" w:cs="Times New Roman"/>
          <w:color w:val="000000" w:themeColor="text1"/>
          <w:sz w:val="24"/>
          <w:szCs w:val="24"/>
        </w:rPr>
        <w:t xml:space="preserve">).  </w:t>
      </w:r>
      <w:r w:rsidR="00A0776E" w:rsidRPr="00A0776E">
        <w:rPr>
          <w:rFonts w:ascii="Times New Roman" w:hAnsi="Times New Roman" w:cs="Times New Roman"/>
          <w:color w:val="000000" w:themeColor="text1"/>
          <w:sz w:val="24"/>
          <w:szCs w:val="24"/>
        </w:rPr>
        <w:t xml:space="preserve">Firms with debt or EBITDA to total capitalization ratios with values less than zero or greater than 1 </w:t>
      </w:r>
      <w:r w:rsidR="00637824">
        <w:rPr>
          <w:rFonts w:ascii="Times New Roman" w:hAnsi="Times New Roman" w:cs="Times New Roman"/>
          <w:color w:val="000000" w:themeColor="text1"/>
          <w:sz w:val="24"/>
          <w:szCs w:val="24"/>
        </w:rPr>
        <w:t xml:space="preserve">are </w:t>
      </w:r>
      <w:r w:rsidR="00A0776E" w:rsidRPr="00A0776E">
        <w:rPr>
          <w:rFonts w:ascii="Times New Roman" w:hAnsi="Times New Roman" w:cs="Times New Roman"/>
          <w:color w:val="000000" w:themeColor="text1"/>
          <w:sz w:val="24"/>
          <w:szCs w:val="24"/>
        </w:rPr>
        <w:t xml:space="preserve">excluded.  </w:t>
      </w:r>
      <w:r w:rsidR="007C3AAA" w:rsidRPr="00A0776E">
        <w:rPr>
          <w:rFonts w:ascii="Times New Roman" w:hAnsi="Times New Roman" w:cs="Times New Roman"/>
          <w:color w:val="000000" w:themeColor="text1"/>
          <w:sz w:val="24"/>
          <w:szCs w:val="24"/>
        </w:rPr>
        <w:t xml:space="preserve">To obtain estimates of net distribution, </w:t>
      </w:r>
      <w:proofErr w:type="spellStart"/>
      <w:proofErr w:type="gramStart"/>
      <w:r w:rsidR="007C3AAA" w:rsidRPr="0071452E">
        <w:rPr>
          <w:rFonts w:ascii="Times New Roman" w:hAnsi="Times New Roman" w:cs="Times New Roman"/>
          <w:i/>
          <w:color w:val="000000" w:themeColor="text1"/>
          <w:sz w:val="24"/>
          <w:szCs w:val="24"/>
        </w:rPr>
        <w:t>NetDIss</w:t>
      </w:r>
      <w:r w:rsidR="007C3AAA" w:rsidRPr="0071452E">
        <w:rPr>
          <w:rFonts w:ascii="Times New Roman" w:hAnsi="Times New Roman" w:cs="Times New Roman"/>
          <w:i/>
          <w:color w:val="000000" w:themeColor="text1"/>
          <w:sz w:val="24"/>
          <w:szCs w:val="24"/>
          <w:vertAlign w:val="subscript"/>
        </w:rPr>
        <w:t>i,t</w:t>
      </w:r>
      <w:proofErr w:type="spellEnd"/>
      <w:proofErr w:type="gramEnd"/>
      <w:r w:rsidR="007C3AAA" w:rsidRPr="0071452E">
        <w:rPr>
          <w:rFonts w:ascii="Times New Roman" w:hAnsi="Times New Roman" w:cs="Times New Roman"/>
          <w:i/>
          <w:color w:val="000000" w:themeColor="text1"/>
          <w:sz w:val="24"/>
          <w:szCs w:val="24"/>
        </w:rPr>
        <w:t>,</w:t>
      </w:r>
      <w:r w:rsidR="007C3AAA" w:rsidRPr="00A0776E">
        <w:rPr>
          <w:rFonts w:ascii="Times New Roman" w:hAnsi="Times New Roman" w:cs="Times New Roman"/>
          <w:color w:val="000000" w:themeColor="text1"/>
          <w:sz w:val="24"/>
          <w:szCs w:val="24"/>
        </w:rPr>
        <w:t xml:space="preserve"> more closely associated with changes in capitalization, we subtract retained earnings from the change in total equity to more closely approximate changes in capital structure reflective of issuances and </w:t>
      </w:r>
      <w:r w:rsidR="007C3AAA" w:rsidRPr="000C5CC7">
        <w:rPr>
          <w:rFonts w:ascii="Times New Roman" w:hAnsi="Times New Roman" w:cs="Times New Roman"/>
          <w:color w:val="000000" w:themeColor="text1"/>
          <w:sz w:val="24"/>
          <w:szCs w:val="24"/>
        </w:rPr>
        <w:t xml:space="preserve">retirements of debt and equity.  Finally, dummy variables for notch-rated firms, </w:t>
      </w:r>
      <w:proofErr w:type="spellStart"/>
      <w:r w:rsidR="007C3AAA" w:rsidRPr="000C5CC7">
        <w:rPr>
          <w:rFonts w:ascii="Times New Roman" w:hAnsi="Times New Roman" w:cs="Times New Roman"/>
          <w:i/>
          <w:iCs/>
          <w:color w:val="000000" w:themeColor="text1"/>
          <w:sz w:val="24"/>
          <w:szCs w:val="24"/>
        </w:rPr>
        <w:t>CRp</w:t>
      </w:r>
      <w:proofErr w:type="spellEnd"/>
      <w:r w:rsidR="007C3AAA" w:rsidRPr="000C5CC7">
        <w:rPr>
          <w:rFonts w:ascii="Times New Roman" w:hAnsi="Times New Roman" w:cs="Times New Roman"/>
          <w:color w:val="000000" w:themeColor="text1"/>
          <w:sz w:val="24"/>
          <w:szCs w:val="24"/>
        </w:rPr>
        <w:t xml:space="preserve"> and </w:t>
      </w:r>
      <w:proofErr w:type="spellStart"/>
      <w:r w:rsidR="007C3AAA" w:rsidRPr="000C5CC7">
        <w:rPr>
          <w:rFonts w:ascii="Times New Roman" w:hAnsi="Times New Roman" w:cs="Times New Roman"/>
          <w:i/>
          <w:iCs/>
          <w:color w:val="000000" w:themeColor="text1"/>
          <w:sz w:val="24"/>
          <w:szCs w:val="24"/>
        </w:rPr>
        <w:t>CRm</w:t>
      </w:r>
      <w:proofErr w:type="spellEnd"/>
      <w:r w:rsidR="007C3AAA" w:rsidRPr="000C5CC7">
        <w:rPr>
          <w:rFonts w:ascii="Times New Roman" w:hAnsi="Times New Roman" w:cs="Times New Roman"/>
          <w:color w:val="000000" w:themeColor="text1"/>
          <w:sz w:val="24"/>
          <w:szCs w:val="24"/>
        </w:rPr>
        <w:t xml:space="preserve">, and a measure for the direction and degree of rating change, </w:t>
      </w:r>
      <w:r w:rsidR="00376689" w:rsidRPr="000C5CC7">
        <w:rPr>
          <w:rFonts w:ascii="Times New Roman" w:hAnsi="Times New Roman" w:cs="Times New Roman"/>
          <w:i/>
          <w:iCs/>
          <w:color w:val="000000" w:themeColor="text1"/>
          <w:sz w:val="24"/>
          <w:szCs w:val="24"/>
        </w:rPr>
        <w:t>ΔSP</w:t>
      </w:r>
      <w:r w:rsidR="007C3AAA" w:rsidRPr="000C5CC7">
        <w:rPr>
          <w:rFonts w:ascii="Times New Roman" w:hAnsi="Times New Roman" w:cs="Times New Roman"/>
          <w:color w:val="000000" w:themeColor="text1"/>
          <w:sz w:val="24"/>
          <w:szCs w:val="24"/>
        </w:rPr>
        <w:t xml:space="preserve">, are used.  </w:t>
      </w:r>
      <w:r w:rsidR="00BE7D4F" w:rsidRPr="000C5CC7">
        <w:rPr>
          <w:rFonts w:ascii="Times New Roman" w:hAnsi="Times New Roman" w:cs="Times New Roman"/>
          <w:color w:val="000000" w:themeColor="text1"/>
          <w:sz w:val="24"/>
          <w:szCs w:val="24"/>
        </w:rPr>
        <w:t xml:space="preserve">These measures are </w:t>
      </w:r>
      <w:r w:rsidR="00D47EAD" w:rsidRPr="000C5CC7">
        <w:rPr>
          <w:rFonts w:ascii="Times New Roman" w:hAnsi="Times New Roman" w:cs="Times New Roman"/>
          <w:color w:val="000000" w:themeColor="text1"/>
          <w:sz w:val="24"/>
          <w:szCs w:val="24"/>
        </w:rPr>
        <w:t xml:space="preserve">calculated </w:t>
      </w:r>
      <w:r w:rsidR="00166FAC" w:rsidRPr="000C5CC7">
        <w:rPr>
          <w:rFonts w:ascii="Times New Roman" w:hAnsi="Times New Roman" w:cs="Times New Roman"/>
          <w:color w:val="000000" w:themeColor="text1"/>
          <w:sz w:val="24"/>
          <w:szCs w:val="24"/>
        </w:rPr>
        <w:t>from the fo</w:t>
      </w:r>
      <w:r w:rsidR="00D47EAD" w:rsidRPr="000C5CC7">
        <w:rPr>
          <w:rFonts w:ascii="Times New Roman" w:hAnsi="Times New Roman" w:cs="Times New Roman"/>
          <w:color w:val="000000" w:themeColor="text1"/>
          <w:sz w:val="24"/>
          <w:szCs w:val="24"/>
        </w:rPr>
        <w:t xml:space="preserve">llowing:  </w:t>
      </w:r>
      <w:bookmarkEnd w:id="10"/>
    </w:p>
    <w:p w14:paraId="0C4C4D7D" w14:textId="15611700" w:rsidR="00BE25C9" w:rsidRDefault="00185F2C" w:rsidP="002D6019">
      <w:pPr>
        <w:spacing w:after="0"/>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BE25C9" w:rsidRPr="00643240">
        <w:rPr>
          <w:rFonts w:ascii="Times New Roman" w:hAnsi="Times New Roman" w:cs="Times New Roman"/>
          <w:i/>
          <w:iCs/>
          <w:sz w:val="24"/>
          <w:szCs w:val="24"/>
        </w:rPr>
        <w:t>T</w:t>
      </w:r>
      <w:r w:rsidRPr="00643240">
        <w:rPr>
          <w:rFonts w:ascii="Times New Roman" w:hAnsi="Times New Roman" w:cs="Times New Roman"/>
          <w:i/>
          <w:iCs/>
          <w:sz w:val="24"/>
          <w:szCs w:val="24"/>
        </w:rPr>
        <w:t>A</w:t>
      </w:r>
      <w:r w:rsidR="00B8390C" w:rsidRPr="00643240">
        <w:rPr>
          <w:rFonts w:ascii="Times New Roman" w:hAnsi="Times New Roman" w:cs="Times New Roman"/>
          <w:i/>
          <w:iCs/>
          <w:sz w:val="24"/>
          <w:szCs w:val="24"/>
          <w:vertAlign w:val="subscript"/>
        </w:rPr>
        <w:t>it</w:t>
      </w:r>
      <w:proofErr w:type="spellEnd"/>
      <w:r w:rsidR="00B8390C" w:rsidRPr="00B8390C">
        <w:rPr>
          <w:rFonts w:ascii="Times New Roman" w:hAnsi="Times New Roman" w:cs="Times New Roman"/>
          <w:sz w:val="24"/>
          <w:szCs w:val="24"/>
        </w:rPr>
        <w:t xml:space="preserve"> </w:t>
      </w:r>
      <w:r>
        <w:rPr>
          <w:rFonts w:ascii="Times New Roman" w:hAnsi="Times New Roman" w:cs="Times New Roman"/>
          <w:sz w:val="24"/>
          <w:szCs w:val="24"/>
        </w:rPr>
        <w:tab/>
      </w:r>
      <w:r w:rsidR="00B8390C" w:rsidRPr="00B8390C">
        <w:rPr>
          <w:rFonts w:ascii="Times New Roman" w:hAnsi="Times New Roman" w:cs="Times New Roman"/>
          <w:sz w:val="24"/>
          <w:szCs w:val="24"/>
        </w:rPr>
        <w:t xml:space="preserve">= </w:t>
      </w:r>
      <w:r w:rsidR="00F86958">
        <w:rPr>
          <w:rFonts w:ascii="Times New Roman" w:hAnsi="Times New Roman" w:cs="Times New Roman"/>
          <w:sz w:val="24"/>
          <w:szCs w:val="24"/>
        </w:rPr>
        <w:t xml:space="preserve">quarterly measure of </w:t>
      </w:r>
      <w:r w:rsidR="00B8390C" w:rsidRPr="00B8390C">
        <w:rPr>
          <w:rFonts w:ascii="Times New Roman" w:hAnsi="Times New Roman" w:cs="Times New Roman"/>
          <w:sz w:val="24"/>
          <w:szCs w:val="24"/>
        </w:rPr>
        <w:t xml:space="preserve">total assets for firm </w:t>
      </w:r>
      <w:r w:rsidR="00B8390C" w:rsidRPr="00A40FBF">
        <w:rPr>
          <w:rFonts w:ascii="Times New Roman" w:hAnsi="Times New Roman" w:cs="Times New Roman"/>
          <w:i/>
          <w:iCs/>
          <w:sz w:val="24"/>
          <w:szCs w:val="24"/>
        </w:rPr>
        <w:t>i</w:t>
      </w:r>
      <w:r w:rsidR="00B8390C" w:rsidRPr="00B8390C">
        <w:rPr>
          <w:rFonts w:ascii="Times New Roman" w:hAnsi="Times New Roman" w:cs="Times New Roman"/>
          <w:sz w:val="24"/>
          <w:szCs w:val="24"/>
        </w:rPr>
        <w:t xml:space="preserve"> at </w:t>
      </w:r>
      <w:r w:rsidR="00F86958">
        <w:rPr>
          <w:rFonts w:ascii="Times New Roman" w:hAnsi="Times New Roman" w:cs="Times New Roman"/>
          <w:sz w:val="24"/>
          <w:szCs w:val="24"/>
        </w:rPr>
        <w:t>quarter</w:t>
      </w:r>
      <w:r w:rsidR="00B8390C" w:rsidRPr="00B8390C">
        <w:rPr>
          <w:rFonts w:ascii="Times New Roman" w:hAnsi="Times New Roman" w:cs="Times New Roman"/>
          <w:sz w:val="24"/>
          <w:szCs w:val="24"/>
        </w:rPr>
        <w:t xml:space="preserve"> </w:t>
      </w:r>
      <w:r w:rsidR="00B8390C" w:rsidRPr="00A40FBF">
        <w:rPr>
          <w:rFonts w:ascii="Times New Roman" w:hAnsi="Times New Roman" w:cs="Times New Roman"/>
          <w:i/>
          <w:iCs/>
          <w:sz w:val="24"/>
          <w:szCs w:val="24"/>
        </w:rPr>
        <w:t>t</w:t>
      </w:r>
      <w:r w:rsidR="00B8390C" w:rsidRPr="00B8390C">
        <w:rPr>
          <w:rFonts w:ascii="Times New Roman" w:hAnsi="Times New Roman" w:cs="Times New Roman"/>
          <w:sz w:val="24"/>
          <w:szCs w:val="24"/>
        </w:rPr>
        <w:t xml:space="preserve"> (</w:t>
      </w:r>
      <w:proofErr w:type="spellStart"/>
      <w:r w:rsidR="00B8390C" w:rsidRPr="00B8390C">
        <w:rPr>
          <w:rFonts w:ascii="Times New Roman" w:hAnsi="Times New Roman" w:cs="Times New Roman"/>
          <w:sz w:val="24"/>
          <w:szCs w:val="24"/>
        </w:rPr>
        <w:t>Compustat</w:t>
      </w:r>
      <w:proofErr w:type="spellEnd"/>
      <w:r w:rsidR="00B8390C" w:rsidRPr="00B8390C">
        <w:rPr>
          <w:rFonts w:ascii="Times New Roman" w:hAnsi="Times New Roman" w:cs="Times New Roman"/>
          <w:sz w:val="24"/>
          <w:szCs w:val="24"/>
        </w:rPr>
        <w:t xml:space="preserve"> </w:t>
      </w:r>
      <w:r w:rsidR="00BE25C9">
        <w:rPr>
          <w:rFonts w:ascii="Times New Roman" w:hAnsi="Times New Roman" w:cs="Times New Roman"/>
          <w:sz w:val="24"/>
          <w:szCs w:val="24"/>
        </w:rPr>
        <w:t xml:space="preserve">variable </w:t>
      </w:r>
    </w:p>
    <w:p w14:paraId="65111BFE" w14:textId="276C82AB" w:rsidR="00B8390C" w:rsidRDefault="00BE25C9" w:rsidP="00AE58E3">
      <w:pPr>
        <w:spacing w:after="0"/>
        <w:ind w:left="1152" w:firstLine="720"/>
        <w:rPr>
          <w:rFonts w:ascii="Times New Roman" w:hAnsi="Times New Roman" w:cs="Times New Roman"/>
          <w:sz w:val="24"/>
          <w:szCs w:val="24"/>
        </w:rPr>
      </w:pPr>
      <w:r>
        <w:rPr>
          <w:rFonts w:ascii="Times New Roman" w:hAnsi="Times New Roman" w:cs="Times New Roman"/>
          <w:sz w:val="24"/>
          <w:szCs w:val="24"/>
        </w:rPr>
        <w:t xml:space="preserve">   ATQ)</w:t>
      </w:r>
      <w:r w:rsidR="009A10CE">
        <w:rPr>
          <w:rFonts w:ascii="Times New Roman" w:hAnsi="Times New Roman" w:cs="Times New Roman"/>
          <w:sz w:val="24"/>
          <w:szCs w:val="24"/>
        </w:rPr>
        <w:t>.</w:t>
      </w:r>
    </w:p>
    <w:p w14:paraId="4B9A1ADA" w14:textId="602BAF90" w:rsidR="00BE25C9" w:rsidRDefault="00BE25C9" w:rsidP="00BE25C9">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sidRPr="00643240">
        <w:rPr>
          <w:rFonts w:ascii="Times New Roman" w:hAnsi="Times New Roman" w:cs="Times New Roman"/>
          <w:i/>
          <w:iCs/>
          <w:sz w:val="24"/>
          <w:szCs w:val="24"/>
        </w:rPr>
        <w:t>LTD</w:t>
      </w:r>
      <w:r w:rsidRPr="00643240">
        <w:rPr>
          <w:rFonts w:ascii="Times New Roman" w:hAnsi="Times New Roman" w:cs="Times New Roman"/>
          <w:i/>
          <w:iCs/>
          <w:sz w:val="24"/>
          <w:szCs w:val="24"/>
          <w:vertAlign w:val="subscript"/>
        </w:rPr>
        <w:t>it</w:t>
      </w:r>
      <w:proofErr w:type="spellEnd"/>
      <w:r w:rsidRPr="00B8390C">
        <w:rPr>
          <w:rFonts w:ascii="Times New Roman" w:hAnsi="Times New Roman" w:cs="Times New Roman"/>
          <w:sz w:val="24"/>
          <w:szCs w:val="24"/>
        </w:rPr>
        <w:t xml:space="preserve"> </w:t>
      </w:r>
      <w:r>
        <w:rPr>
          <w:rFonts w:ascii="Times New Roman" w:hAnsi="Times New Roman" w:cs="Times New Roman"/>
          <w:sz w:val="24"/>
          <w:szCs w:val="24"/>
        </w:rPr>
        <w:tab/>
      </w:r>
      <w:r w:rsidRPr="00B8390C">
        <w:rPr>
          <w:rFonts w:ascii="Times New Roman" w:hAnsi="Times New Roman" w:cs="Times New Roman"/>
          <w:sz w:val="24"/>
          <w:szCs w:val="24"/>
        </w:rPr>
        <w:t xml:space="preserve">= </w:t>
      </w:r>
      <w:r>
        <w:rPr>
          <w:rFonts w:ascii="Times New Roman" w:hAnsi="Times New Roman" w:cs="Times New Roman"/>
          <w:sz w:val="24"/>
          <w:szCs w:val="24"/>
        </w:rPr>
        <w:t xml:space="preserve">quarterly measure of long-term debt </w:t>
      </w:r>
      <w:r w:rsidRPr="00B8390C">
        <w:rPr>
          <w:rFonts w:ascii="Times New Roman" w:hAnsi="Times New Roman" w:cs="Times New Roman"/>
          <w:sz w:val="24"/>
          <w:szCs w:val="24"/>
        </w:rPr>
        <w:t xml:space="preserve">firm i at </w:t>
      </w:r>
      <w:r>
        <w:rPr>
          <w:rFonts w:ascii="Times New Roman" w:hAnsi="Times New Roman" w:cs="Times New Roman"/>
          <w:sz w:val="24"/>
          <w:szCs w:val="24"/>
        </w:rPr>
        <w:t>quarter</w:t>
      </w:r>
      <w:r w:rsidRPr="00B8390C">
        <w:rPr>
          <w:rFonts w:ascii="Times New Roman" w:hAnsi="Times New Roman" w:cs="Times New Roman"/>
          <w:sz w:val="24"/>
          <w:szCs w:val="24"/>
        </w:rPr>
        <w:t xml:space="preserve"> </w:t>
      </w:r>
      <w:r w:rsidRPr="00A40FBF">
        <w:rPr>
          <w:rFonts w:ascii="Times New Roman" w:hAnsi="Times New Roman" w:cs="Times New Roman"/>
          <w:i/>
          <w:iCs/>
          <w:sz w:val="24"/>
          <w:szCs w:val="24"/>
        </w:rPr>
        <w:t>t</w:t>
      </w:r>
      <w:r w:rsidRPr="00B8390C">
        <w:rPr>
          <w:rFonts w:ascii="Times New Roman" w:hAnsi="Times New Roman" w:cs="Times New Roman"/>
          <w:sz w:val="24"/>
          <w:szCs w:val="24"/>
        </w:rPr>
        <w:t xml:space="preserve"> (</w:t>
      </w:r>
      <w:proofErr w:type="spellStart"/>
      <w:r w:rsidRPr="00B8390C">
        <w:rPr>
          <w:rFonts w:ascii="Times New Roman" w:hAnsi="Times New Roman" w:cs="Times New Roman"/>
          <w:sz w:val="24"/>
          <w:szCs w:val="24"/>
        </w:rPr>
        <w:t>Compustat</w:t>
      </w:r>
      <w:proofErr w:type="spellEnd"/>
      <w:r w:rsidRPr="00B8390C">
        <w:rPr>
          <w:rFonts w:ascii="Times New Roman" w:hAnsi="Times New Roman" w:cs="Times New Roman"/>
          <w:sz w:val="24"/>
          <w:szCs w:val="24"/>
        </w:rPr>
        <w:t xml:space="preserve"> </w:t>
      </w:r>
      <w:r>
        <w:rPr>
          <w:rFonts w:ascii="Times New Roman" w:hAnsi="Times New Roman" w:cs="Times New Roman"/>
          <w:sz w:val="24"/>
          <w:szCs w:val="24"/>
        </w:rPr>
        <w:t>variable</w:t>
      </w:r>
    </w:p>
    <w:p w14:paraId="7205044B" w14:textId="372091A9" w:rsidR="00BE25C9" w:rsidRDefault="00BE25C9" w:rsidP="00BE25C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w:t>
      </w:r>
      <w:r w:rsidR="005250BB">
        <w:rPr>
          <w:rFonts w:ascii="Times New Roman" w:hAnsi="Times New Roman" w:cs="Times New Roman"/>
          <w:sz w:val="24"/>
          <w:szCs w:val="24"/>
        </w:rPr>
        <w:t>LTTQ</w:t>
      </w:r>
      <w:r>
        <w:rPr>
          <w:rFonts w:ascii="Times New Roman" w:hAnsi="Times New Roman" w:cs="Times New Roman"/>
          <w:sz w:val="24"/>
          <w:szCs w:val="24"/>
        </w:rPr>
        <w:t>)</w:t>
      </w:r>
      <w:r w:rsidR="009A10CE">
        <w:rPr>
          <w:rFonts w:ascii="Times New Roman" w:hAnsi="Times New Roman" w:cs="Times New Roman"/>
          <w:sz w:val="24"/>
          <w:szCs w:val="24"/>
        </w:rPr>
        <w:t>.</w:t>
      </w:r>
    </w:p>
    <w:p w14:paraId="038D6A6C" w14:textId="75485B59" w:rsidR="00901964" w:rsidRDefault="00901964" w:rsidP="00901964">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sidRPr="00643240">
        <w:rPr>
          <w:rFonts w:ascii="Times New Roman" w:hAnsi="Times New Roman" w:cs="Times New Roman"/>
          <w:i/>
          <w:iCs/>
          <w:sz w:val="24"/>
          <w:szCs w:val="24"/>
        </w:rPr>
        <w:t>TD</w:t>
      </w:r>
      <w:r w:rsidRPr="00643240">
        <w:rPr>
          <w:rFonts w:ascii="Times New Roman" w:hAnsi="Times New Roman" w:cs="Times New Roman"/>
          <w:i/>
          <w:iCs/>
          <w:sz w:val="24"/>
          <w:szCs w:val="24"/>
          <w:vertAlign w:val="subscript"/>
        </w:rPr>
        <w:t>it</w:t>
      </w:r>
      <w:proofErr w:type="spellEnd"/>
      <w:r w:rsidRPr="00643240">
        <w:rPr>
          <w:rFonts w:ascii="Times New Roman" w:hAnsi="Times New Roman" w:cs="Times New Roman"/>
          <w:i/>
          <w:iCs/>
          <w:sz w:val="24"/>
          <w:szCs w:val="24"/>
        </w:rPr>
        <w:t xml:space="preserve"> </w:t>
      </w:r>
      <w:r>
        <w:rPr>
          <w:rFonts w:ascii="Times New Roman" w:hAnsi="Times New Roman" w:cs="Times New Roman"/>
          <w:sz w:val="24"/>
          <w:szCs w:val="24"/>
        </w:rPr>
        <w:tab/>
      </w:r>
      <w:r w:rsidR="009A10CE">
        <w:rPr>
          <w:rFonts w:ascii="Times New Roman" w:hAnsi="Times New Roman" w:cs="Times New Roman"/>
          <w:sz w:val="24"/>
          <w:szCs w:val="24"/>
        </w:rPr>
        <w:t xml:space="preserve">= </w:t>
      </w:r>
      <w:r>
        <w:rPr>
          <w:rFonts w:ascii="Times New Roman" w:hAnsi="Times New Roman" w:cs="Times New Roman"/>
          <w:sz w:val="24"/>
          <w:szCs w:val="24"/>
        </w:rPr>
        <w:t xml:space="preserve">quarterly measure of total debt </w:t>
      </w:r>
      <w:r w:rsidRPr="00B8390C">
        <w:rPr>
          <w:rFonts w:ascii="Times New Roman" w:hAnsi="Times New Roman" w:cs="Times New Roman"/>
          <w:sz w:val="24"/>
          <w:szCs w:val="24"/>
        </w:rPr>
        <w:t xml:space="preserve">firm </w:t>
      </w:r>
      <w:r w:rsidRPr="00A40FBF">
        <w:rPr>
          <w:rFonts w:ascii="Times New Roman" w:hAnsi="Times New Roman" w:cs="Times New Roman"/>
          <w:i/>
          <w:iCs/>
          <w:sz w:val="24"/>
          <w:szCs w:val="24"/>
        </w:rPr>
        <w:t>i</w:t>
      </w:r>
      <w:r w:rsidRPr="00B8390C">
        <w:rPr>
          <w:rFonts w:ascii="Times New Roman" w:hAnsi="Times New Roman" w:cs="Times New Roman"/>
          <w:sz w:val="24"/>
          <w:szCs w:val="24"/>
        </w:rPr>
        <w:t xml:space="preserve"> at </w:t>
      </w:r>
      <w:r>
        <w:rPr>
          <w:rFonts w:ascii="Times New Roman" w:hAnsi="Times New Roman" w:cs="Times New Roman"/>
          <w:sz w:val="24"/>
          <w:szCs w:val="24"/>
        </w:rPr>
        <w:t>quarter</w:t>
      </w:r>
      <w:r w:rsidRPr="00B8390C">
        <w:rPr>
          <w:rFonts w:ascii="Times New Roman" w:hAnsi="Times New Roman" w:cs="Times New Roman"/>
          <w:sz w:val="24"/>
          <w:szCs w:val="24"/>
        </w:rPr>
        <w:t xml:space="preserve"> </w:t>
      </w:r>
      <w:r w:rsidRPr="00A40FBF">
        <w:rPr>
          <w:rFonts w:ascii="Times New Roman" w:hAnsi="Times New Roman" w:cs="Times New Roman"/>
          <w:i/>
          <w:iCs/>
          <w:sz w:val="24"/>
          <w:szCs w:val="24"/>
        </w:rPr>
        <w:t>t</w:t>
      </w:r>
      <w:r w:rsidRPr="00B8390C">
        <w:rPr>
          <w:rFonts w:ascii="Times New Roman" w:hAnsi="Times New Roman" w:cs="Times New Roman"/>
          <w:sz w:val="24"/>
          <w:szCs w:val="24"/>
        </w:rPr>
        <w:t xml:space="preserve"> (</w:t>
      </w:r>
      <w:proofErr w:type="spellStart"/>
      <w:r w:rsidRPr="00B8390C">
        <w:rPr>
          <w:rFonts w:ascii="Times New Roman" w:hAnsi="Times New Roman" w:cs="Times New Roman"/>
          <w:sz w:val="24"/>
          <w:szCs w:val="24"/>
        </w:rPr>
        <w:t>Compustat</w:t>
      </w:r>
      <w:proofErr w:type="spellEnd"/>
      <w:r w:rsidRPr="00B8390C">
        <w:rPr>
          <w:rFonts w:ascii="Times New Roman" w:hAnsi="Times New Roman" w:cs="Times New Roman"/>
          <w:sz w:val="24"/>
          <w:szCs w:val="24"/>
        </w:rPr>
        <w:t xml:space="preserve"> </w:t>
      </w:r>
      <w:r>
        <w:rPr>
          <w:rFonts w:ascii="Times New Roman" w:hAnsi="Times New Roman" w:cs="Times New Roman"/>
          <w:sz w:val="24"/>
          <w:szCs w:val="24"/>
        </w:rPr>
        <w:t>variable</w:t>
      </w:r>
    </w:p>
    <w:p w14:paraId="63385EB7" w14:textId="7780C76C" w:rsidR="00901964" w:rsidRDefault="00901964" w:rsidP="0090196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LTQ)</w:t>
      </w:r>
      <w:r w:rsidR="009A10CE">
        <w:rPr>
          <w:rFonts w:ascii="Times New Roman" w:hAnsi="Times New Roman" w:cs="Times New Roman"/>
          <w:sz w:val="24"/>
          <w:szCs w:val="24"/>
        </w:rPr>
        <w:t>.</w:t>
      </w:r>
    </w:p>
    <w:p w14:paraId="2EECBC9F" w14:textId="226F81EF" w:rsidR="00F30D2E" w:rsidRDefault="00F30D2E" w:rsidP="00F30D2E">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sidRPr="00643240">
        <w:rPr>
          <w:rFonts w:ascii="Times New Roman" w:hAnsi="Times New Roman" w:cs="Times New Roman"/>
          <w:i/>
          <w:iCs/>
          <w:sz w:val="24"/>
          <w:szCs w:val="24"/>
        </w:rPr>
        <w:t>ΔTA</w:t>
      </w:r>
      <w:r w:rsidRPr="00643240">
        <w:rPr>
          <w:rFonts w:ascii="Times New Roman" w:hAnsi="Times New Roman" w:cs="Times New Roman"/>
          <w:i/>
          <w:iCs/>
          <w:sz w:val="24"/>
          <w:szCs w:val="24"/>
          <w:vertAlign w:val="subscript"/>
        </w:rPr>
        <w:t>it</w:t>
      </w:r>
      <w:proofErr w:type="spellEnd"/>
      <w:r w:rsidRPr="00643240">
        <w:rPr>
          <w:rFonts w:ascii="Times New Roman" w:hAnsi="Times New Roman" w:cs="Times New Roman"/>
          <w:i/>
          <w:iCs/>
          <w:sz w:val="24"/>
          <w:szCs w:val="24"/>
        </w:rPr>
        <w:t xml:space="preserve"> </w:t>
      </w:r>
      <w:r>
        <w:rPr>
          <w:rFonts w:ascii="Times New Roman" w:hAnsi="Times New Roman" w:cs="Times New Roman"/>
          <w:sz w:val="24"/>
          <w:szCs w:val="24"/>
        </w:rPr>
        <w:tab/>
      </w:r>
      <w:r w:rsidR="009A10CE">
        <w:rPr>
          <w:rFonts w:ascii="Times New Roman" w:hAnsi="Times New Roman" w:cs="Times New Roman"/>
          <w:sz w:val="24"/>
          <w:szCs w:val="24"/>
        </w:rPr>
        <w:t xml:space="preserve">= </w:t>
      </w:r>
      <w:r>
        <w:rPr>
          <w:rFonts w:ascii="Times New Roman" w:hAnsi="Times New Roman" w:cs="Times New Roman"/>
          <w:sz w:val="24"/>
          <w:szCs w:val="24"/>
        </w:rPr>
        <w:t xml:space="preserve">change in total assets for the firm from quarter </w:t>
      </w:r>
      <w:r w:rsidRPr="00A40FBF">
        <w:rPr>
          <w:rFonts w:ascii="Times New Roman" w:hAnsi="Times New Roman" w:cs="Times New Roman"/>
          <w:i/>
          <w:iCs/>
          <w:sz w:val="24"/>
          <w:szCs w:val="24"/>
        </w:rPr>
        <w:t>t-1</w:t>
      </w:r>
      <w:r>
        <w:rPr>
          <w:rFonts w:ascii="Times New Roman" w:hAnsi="Times New Roman" w:cs="Times New Roman"/>
          <w:sz w:val="24"/>
          <w:szCs w:val="24"/>
        </w:rPr>
        <w:t xml:space="preserve"> to quarter </w:t>
      </w:r>
      <w:r w:rsidRPr="00A40FBF">
        <w:rPr>
          <w:rFonts w:ascii="Times New Roman" w:hAnsi="Times New Roman" w:cs="Times New Roman"/>
          <w:i/>
          <w:iCs/>
          <w:sz w:val="24"/>
          <w:szCs w:val="24"/>
        </w:rPr>
        <w:t>t</w:t>
      </w:r>
      <w:r w:rsidR="009A10CE">
        <w:rPr>
          <w:rFonts w:ascii="Times New Roman" w:hAnsi="Times New Roman" w:cs="Times New Roman"/>
          <w:sz w:val="24"/>
          <w:szCs w:val="24"/>
        </w:rPr>
        <w:t>.</w:t>
      </w:r>
    </w:p>
    <w:p w14:paraId="1DDCB672" w14:textId="2AD85F81" w:rsidR="00F30D2E" w:rsidRDefault="00F30D2E" w:rsidP="00F30D2E">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sidRPr="00643240">
        <w:rPr>
          <w:rFonts w:ascii="Times New Roman" w:hAnsi="Times New Roman" w:cs="Times New Roman"/>
          <w:i/>
          <w:iCs/>
          <w:sz w:val="24"/>
          <w:szCs w:val="24"/>
        </w:rPr>
        <w:t>ΔTD</w:t>
      </w:r>
      <w:r w:rsidRPr="00643240">
        <w:rPr>
          <w:rFonts w:ascii="Times New Roman" w:hAnsi="Times New Roman" w:cs="Times New Roman"/>
          <w:i/>
          <w:iCs/>
          <w:sz w:val="24"/>
          <w:szCs w:val="24"/>
          <w:vertAlign w:val="subscript"/>
        </w:rPr>
        <w:t>it</w:t>
      </w:r>
      <w:proofErr w:type="spellEnd"/>
      <w:r w:rsidRPr="00643240">
        <w:rPr>
          <w:rFonts w:ascii="Times New Roman" w:hAnsi="Times New Roman" w:cs="Times New Roman"/>
          <w:i/>
          <w:iCs/>
          <w:sz w:val="24"/>
          <w:szCs w:val="24"/>
        </w:rPr>
        <w:t xml:space="preserve"> </w:t>
      </w:r>
      <w:r>
        <w:rPr>
          <w:rFonts w:ascii="Times New Roman" w:hAnsi="Times New Roman" w:cs="Times New Roman"/>
          <w:sz w:val="24"/>
          <w:szCs w:val="24"/>
        </w:rPr>
        <w:tab/>
      </w:r>
      <w:r w:rsidRPr="00B8390C">
        <w:rPr>
          <w:rFonts w:ascii="Times New Roman" w:hAnsi="Times New Roman" w:cs="Times New Roman"/>
          <w:sz w:val="24"/>
          <w:szCs w:val="24"/>
        </w:rPr>
        <w:t xml:space="preserve">= </w:t>
      </w:r>
      <w:r>
        <w:rPr>
          <w:rFonts w:ascii="Times New Roman" w:hAnsi="Times New Roman" w:cs="Times New Roman"/>
          <w:sz w:val="24"/>
          <w:szCs w:val="24"/>
        </w:rPr>
        <w:t xml:space="preserve">change in total debt for the firm from quarter </w:t>
      </w:r>
      <w:r w:rsidRPr="00A40FBF">
        <w:rPr>
          <w:rFonts w:ascii="Times New Roman" w:hAnsi="Times New Roman" w:cs="Times New Roman"/>
          <w:i/>
          <w:iCs/>
          <w:sz w:val="24"/>
          <w:szCs w:val="24"/>
        </w:rPr>
        <w:t>t-1</w:t>
      </w:r>
      <w:r>
        <w:rPr>
          <w:rFonts w:ascii="Times New Roman" w:hAnsi="Times New Roman" w:cs="Times New Roman"/>
          <w:sz w:val="24"/>
          <w:szCs w:val="24"/>
        </w:rPr>
        <w:t xml:space="preserve"> to quarter </w:t>
      </w:r>
      <w:r w:rsidRPr="00A40FBF">
        <w:rPr>
          <w:rFonts w:ascii="Times New Roman" w:hAnsi="Times New Roman" w:cs="Times New Roman"/>
          <w:i/>
          <w:iCs/>
          <w:sz w:val="24"/>
          <w:szCs w:val="24"/>
        </w:rPr>
        <w:t>t</w:t>
      </w:r>
      <w:r w:rsidR="009A10CE">
        <w:rPr>
          <w:rFonts w:ascii="Times New Roman" w:hAnsi="Times New Roman" w:cs="Times New Roman"/>
          <w:sz w:val="24"/>
          <w:szCs w:val="24"/>
        </w:rPr>
        <w:t>.</w:t>
      </w:r>
    </w:p>
    <w:p w14:paraId="3FC09CD3" w14:textId="77777777" w:rsidR="00433944" w:rsidRDefault="00F30D2E" w:rsidP="009A10CE">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sidR="009A10CE" w:rsidRPr="00BE7D4F">
        <w:rPr>
          <w:rFonts w:ascii="Times New Roman" w:hAnsi="Times New Roman" w:cs="Times New Roman"/>
          <w:i/>
          <w:iCs/>
          <w:sz w:val="24"/>
          <w:szCs w:val="24"/>
        </w:rPr>
        <w:t>CRp</w:t>
      </w:r>
      <w:proofErr w:type="spellEnd"/>
      <w:r w:rsidR="009A10CE">
        <w:rPr>
          <w:rFonts w:ascii="Times New Roman" w:hAnsi="Times New Roman" w:cs="Times New Roman"/>
          <w:sz w:val="24"/>
          <w:szCs w:val="24"/>
        </w:rPr>
        <w:tab/>
        <w:t>= dummy variable equal to 1 for firms that have a “+” notch credit rating</w:t>
      </w:r>
      <w:r w:rsidR="00433944">
        <w:rPr>
          <w:rFonts w:ascii="Times New Roman" w:hAnsi="Times New Roman" w:cs="Times New Roman"/>
          <w:sz w:val="24"/>
          <w:szCs w:val="24"/>
        </w:rPr>
        <w:t xml:space="preserve"> at </w:t>
      </w:r>
    </w:p>
    <w:p w14:paraId="147B51D0" w14:textId="5C41C0BF" w:rsidR="00643240" w:rsidRDefault="00433944" w:rsidP="00433944">
      <w:pPr>
        <w:spacing w:after="0"/>
        <w:ind w:left="936" w:firstLine="936"/>
        <w:rPr>
          <w:rFonts w:ascii="Times New Roman" w:hAnsi="Times New Roman" w:cs="Times New Roman"/>
          <w:sz w:val="24"/>
          <w:szCs w:val="24"/>
        </w:rPr>
      </w:pPr>
      <w:r>
        <w:rPr>
          <w:rFonts w:ascii="Times New Roman" w:hAnsi="Times New Roman" w:cs="Times New Roman"/>
          <w:sz w:val="24"/>
          <w:szCs w:val="24"/>
        </w:rPr>
        <w:t xml:space="preserve">   the beginning of the quarter</w:t>
      </w:r>
      <w:r w:rsidR="00A40FBF">
        <w:rPr>
          <w:rFonts w:ascii="Times New Roman" w:hAnsi="Times New Roman" w:cs="Times New Roman"/>
          <w:sz w:val="24"/>
          <w:szCs w:val="24"/>
        </w:rPr>
        <w:t>.</w:t>
      </w:r>
    </w:p>
    <w:p w14:paraId="5F50949F" w14:textId="77777777" w:rsidR="00433944" w:rsidRDefault="009A10CE" w:rsidP="00433944">
      <w:pPr>
        <w:spacing w:after="0"/>
        <w:ind w:left="1872" w:hanging="938"/>
        <w:rPr>
          <w:rFonts w:ascii="Times New Roman" w:hAnsi="Times New Roman" w:cs="Times New Roman"/>
          <w:sz w:val="24"/>
          <w:szCs w:val="24"/>
        </w:rPr>
      </w:pPr>
      <w:proofErr w:type="spellStart"/>
      <w:r w:rsidRPr="00BE7D4F">
        <w:rPr>
          <w:rFonts w:ascii="Times New Roman" w:hAnsi="Times New Roman" w:cs="Times New Roman"/>
          <w:i/>
          <w:iCs/>
          <w:sz w:val="24"/>
          <w:szCs w:val="24"/>
        </w:rPr>
        <w:t>CRm</w:t>
      </w:r>
      <w:proofErr w:type="spellEnd"/>
      <w:r>
        <w:rPr>
          <w:rFonts w:ascii="Times New Roman" w:hAnsi="Times New Roman" w:cs="Times New Roman"/>
          <w:sz w:val="24"/>
          <w:szCs w:val="24"/>
        </w:rPr>
        <w:tab/>
        <w:t>= dummy variable equal to 1 for firms that have a “</w:t>
      </w:r>
      <w:r w:rsidR="00A40FBF">
        <w:rPr>
          <w:rFonts w:ascii="Times New Roman" w:hAnsi="Times New Roman" w:cs="Times New Roman"/>
          <w:sz w:val="24"/>
          <w:szCs w:val="24"/>
        </w:rPr>
        <w:t>-</w:t>
      </w:r>
      <w:r>
        <w:rPr>
          <w:rFonts w:ascii="Times New Roman" w:hAnsi="Times New Roman" w:cs="Times New Roman"/>
          <w:sz w:val="24"/>
          <w:szCs w:val="24"/>
        </w:rPr>
        <w:t>” notch credit rating</w:t>
      </w:r>
      <w:r w:rsidR="00433944">
        <w:rPr>
          <w:rFonts w:ascii="Times New Roman" w:hAnsi="Times New Roman" w:cs="Times New Roman"/>
          <w:sz w:val="24"/>
          <w:szCs w:val="24"/>
        </w:rPr>
        <w:t xml:space="preserve"> at</w:t>
      </w:r>
    </w:p>
    <w:p w14:paraId="54E24F89" w14:textId="4ACBE07A" w:rsidR="009A10CE" w:rsidRDefault="00433944" w:rsidP="00433944">
      <w:pPr>
        <w:spacing w:after="0"/>
        <w:ind w:left="1872"/>
        <w:rPr>
          <w:rFonts w:ascii="Times New Roman" w:hAnsi="Times New Roman" w:cs="Times New Roman"/>
          <w:sz w:val="24"/>
          <w:szCs w:val="24"/>
        </w:rPr>
      </w:pPr>
      <w:r>
        <w:rPr>
          <w:rFonts w:ascii="Times New Roman" w:hAnsi="Times New Roman" w:cs="Times New Roman"/>
          <w:sz w:val="24"/>
          <w:szCs w:val="24"/>
        </w:rPr>
        <w:t xml:space="preserve">   the beginning of the quarter</w:t>
      </w:r>
      <w:r w:rsidR="00A40FBF">
        <w:rPr>
          <w:rFonts w:ascii="Times New Roman" w:hAnsi="Times New Roman" w:cs="Times New Roman"/>
          <w:sz w:val="24"/>
          <w:szCs w:val="24"/>
        </w:rPr>
        <w:t>.</w:t>
      </w:r>
    </w:p>
    <w:p w14:paraId="6AA60208" w14:textId="77777777" w:rsidR="00376689" w:rsidRDefault="00B51645" w:rsidP="00C94395">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r>
      <w:r w:rsidR="00C94395" w:rsidRPr="00643240">
        <w:rPr>
          <w:rFonts w:ascii="Times New Roman" w:hAnsi="Times New Roman" w:cs="Times New Roman"/>
          <w:i/>
          <w:iCs/>
          <w:sz w:val="24"/>
          <w:szCs w:val="24"/>
        </w:rPr>
        <w:t>Δ</w:t>
      </w:r>
      <w:r w:rsidR="007C3AAA" w:rsidRPr="007C3AAA">
        <w:rPr>
          <w:rFonts w:ascii="Times New Roman" w:hAnsi="Times New Roman" w:cs="Times New Roman"/>
          <w:i/>
          <w:iCs/>
          <w:sz w:val="24"/>
          <w:szCs w:val="24"/>
        </w:rPr>
        <w:t>SP</w:t>
      </w:r>
      <w:r w:rsidR="00C94395">
        <w:rPr>
          <w:rFonts w:ascii="Times New Roman" w:hAnsi="Times New Roman" w:cs="Times New Roman"/>
          <w:i/>
          <w:iCs/>
          <w:sz w:val="24"/>
          <w:szCs w:val="24"/>
        </w:rPr>
        <w:tab/>
      </w:r>
      <w:r w:rsidR="00C94395" w:rsidRPr="00C94395">
        <w:rPr>
          <w:rFonts w:ascii="Times New Roman" w:hAnsi="Times New Roman" w:cs="Times New Roman"/>
          <w:sz w:val="24"/>
          <w:szCs w:val="24"/>
        </w:rPr>
        <w:t xml:space="preserve">= change in rating for firm </w:t>
      </w:r>
      <w:r w:rsidR="00C94395" w:rsidRPr="00C94395">
        <w:rPr>
          <w:rFonts w:ascii="Times New Roman" w:hAnsi="Times New Roman" w:cs="Times New Roman"/>
          <w:i/>
          <w:iCs/>
          <w:sz w:val="24"/>
          <w:szCs w:val="24"/>
        </w:rPr>
        <w:t>i</w:t>
      </w:r>
      <w:r w:rsidR="00C94395">
        <w:rPr>
          <w:rFonts w:ascii="Times New Roman" w:hAnsi="Times New Roman" w:cs="Times New Roman"/>
          <w:sz w:val="24"/>
          <w:szCs w:val="24"/>
        </w:rPr>
        <w:t xml:space="preserve"> </w:t>
      </w:r>
      <w:r w:rsidR="00C94395" w:rsidRPr="00C94395">
        <w:rPr>
          <w:rFonts w:ascii="Times New Roman" w:hAnsi="Times New Roman" w:cs="Times New Roman"/>
          <w:sz w:val="24"/>
          <w:szCs w:val="24"/>
        </w:rPr>
        <w:t>from quarter</w:t>
      </w:r>
      <w:r w:rsidR="00C94395">
        <w:rPr>
          <w:rFonts w:ascii="Times New Roman" w:hAnsi="Times New Roman" w:cs="Times New Roman"/>
          <w:i/>
          <w:iCs/>
          <w:sz w:val="24"/>
          <w:szCs w:val="24"/>
        </w:rPr>
        <w:t xml:space="preserve"> t-1 </w:t>
      </w:r>
      <w:r w:rsidR="00C94395" w:rsidRPr="00C94395">
        <w:rPr>
          <w:rFonts w:ascii="Times New Roman" w:hAnsi="Times New Roman" w:cs="Times New Roman"/>
          <w:sz w:val="24"/>
          <w:szCs w:val="24"/>
        </w:rPr>
        <w:t>to quarter</w:t>
      </w:r>
      <w:r w:rsidR="00C94395">
        <w:rPr>
          <w:rFonts w:ascii="Times New Roman" w:hAnsi="Times New Roman" w:cs="Times New Roman"/>
          <w:i/>
          <w:iCs/>
          <w:sz w:val="24"/>
          <w:szCs w:val="24"/>
        </w:rPr>
        <w:t xml:space="preserve"> t </w:t>
      </w:r>
      <w:r w:rsidR="00C94395" w:rsidRPr="00C94395">
        <w:rPr>
          <w:rFonts w:ascii="Times New Roman" w:hAnsi="Times New Roman" w:cs="Times New Roman"/>
          <w:sz w:val="24"/>
          <w:szCs w:val="24"/>
        </w:rPr>
        <w:t xml:space="preserve">where </w:t>
      </w:r>
      <w:r w:rsidR="00376689">
        <w:rPr>
          <w:rFonts w:ascii="Times New Roman" w:hAnsi="Times New Roman" w:cs="Times New Roman"/>
          <w:sz w:val="24"/>
          <w:szCs w:val="24"/>
        </w:rPr>
        <w:t xml:space="preserve">rating </w:t>
      </w:r>
    </w:p>
    <w:p w14:paraId="4B8F7DD4" w14:textId="1CF90A62" w:rsidR="00C94395" w:rsidRPr="00C94395" w:rsidRDefault="00376689" w:rsidP="00376689">
      <w:pPr>
        <w:spacing w:after="0" w:line="240" w:lineRule="auto"/>
        <w:ind w:left="936" w:firstLine="936"/>
        <w:rPr>
          <w:rFonts w:ascii="Times New Roman" w:hAnsi="Times New Roman" w:cs="Times New Roman"/>
          <w:sz w:val="24"/>
          <w:szCs w:val="24"/>
        </w:rPr>
      </w:pPr>
      <w:r>
        <w:rPr>
          <w:rFonts w:ascii="Times New Roman" w:hAnsi="Times New Roman" w:cs="Times New Roman"/>
          <w:sz w:val="24"/>
          <w:szCs w:val="24"/>
        </w:rPr>
        <w:t xml:space="preserve">   </w:t>
      </w:r>
      <w:r w:rsidR="00C94395">
        <w:rPr>
          <w:rFonts w:ascii="Times New Roman" w:hAnsi="Times New Roman" w:cs="Times New Roman"/>
          <w:sz w:val="24"/>
          <w:szCs w:val="24"/>
        </w:rPr>
        <w:t>“</w:t>
      </w:r>
      <w:proofErr w:type="gramStart"/>
      <w:r>
        <w:rPr>
          <w:rFonts w:ascii="Times New Roman" w:hAnsi="Times New Roman" w:cs="Times New Roman"/>
          <w:sz w:val="24"/>
          <w:szCs w:val="24"/>
        </w:rPr>
        <w:t>AAA”=</w:t>
      </w:r>
      <w:proofErr w:type="gramEnd"/>
      <w:r>
        <w:rPr>
          <w:rFonts w:ascii="Times New Roman" w:hAnsi="Times New Roman" w:cs="Times New Roman"/>
          <w:sz w:val="24"/>
          <w:szCs w:val="24"/>
        </w:rPr>
        <w:t>1, “AA+”=2, “AA=3,….</w:t>
      </w:r>
    </w:p>
    <w:p w14:paraId="2D08FF49" w14:textId="3AF7B2B4" w:rsidR="00AE58E3" w:rsidRDefault="00B51645" w:rsidP="00C94395">
      <w:pPr>
        <w:spacing w:after="0" w:line="240" w:lineRule="auto"/>
        <w:ind w:firstLine="936"/>
        <w:rPr>
          <w:rFonts w:ascii="Times New Roman" w:hAnsi="Times New Roman" w:cs="Times New Roman"/>
          <w:sz w:val="24"/>
          <w:szCs w:val="24"/>
        </w:rPr>
      </w:pPr>
      <w:proofErr w:type="gramStart"/>
      <w:r w:rsidRPr="00B51645">
        <w:rPr>
          <w:rFonts w:ascii="Times New Roman" w:hAnsi="Times New Roman" w:cs="Times New Roman"/>
          <w:i/>
          <w:iCs/>
          <w:sz w:val="24"/>
          <w:szCs w:val="24"/>
        </w:rPr>
        <w:t>LEV</w:t>
      </w:r>
      <w:r w:rsidRPr="00B51645">
        <w:rPr>
          <w:rFonts w:ascii="Times New Roman Italic" w:hAnsi="Times New Roman Italic" w:cs="Times New Roman"/>
          <w:i/>
          <w:iCs/>
          <w:sz w:val="24"/>
          <w:szCs w:val="24"/>
          <w:vertAlign w:val="subscript"/>
        </w:rPr>
        <w:t>i,t</w:t>
      </w:r>
      <w:proofErr w:type="gramEnd"/>
      <w:r w:rsidRPr="00B51645">
        <w:rPr>
          <w:rFonts w:ascii="Times New Roman Italic" w:hAnsi="Times New Roman Italic" w:cs="Times New Roman"/>
          <w:i/>
          <w:iCs/>
          <w:sz w:val="24"/>
          <w:szCs w:val="24"/>
          <w:vertAlign w:val="subscript"/>
        </w:rPr>
        <w:t>-1</w:t>
      </w:r>
      <w:r w:rsidR="00AE58E3">
        <w:rPr>
          <w:rFonts w:ascii="Times New Roman" w:hAnsi="Times New Roman" w:cs="Times New Roman"/>
          <w:sz w:val="24"/>
          <w:szCs w:val="24"/>
        </w:rPr>
        <w:tab/>
      </w:r>
      <w:r>
        <w:rPr>
          <w:rFonts w:ascii="Times New Roman" w:hAnsi="Times New Roman" w:cs="Times New Roman"/>
          <w:sz w:val="24"/>
          <w:szCs w:val="24"/>
        </w:rPr>
        <w:t xml:space="preserve">= control variable for leverage: </w:t>
      </w:r>
      <w:r w:rsidRPr="00B51645">
        <w:rPr>
          <w:rFonts w:ascii="Times New Roman" w:hAnsi="Times New Roman" w:cs="Times New Roman"/>
          <w:i/>
          <w:iCs/>
          <w:sz w:val="24"/>
          <w:szCs w:val="24"/>
        </w:rPr>
        <w:t>TD</w:t>
      </w:r>
      <w:r w:rsidRPr="00B51645">
        <w:rPr>
          <w:rFonts w:ascii="Times New Roman" w:hAnsi="Times New Roman" w:cs="Times New Roman"/>
          <w:i/>
          <w:iCs/>
          <w:sz w:val="24"/>
          <w:szCs w:val="24"/>
          <w:vertAlign w:val="subscript"/>
        </w:rPr>
        <w:t>i,t-1</w:t>
      </w:r>
      <w:r w:rsidRPr="00B51645">
        <w:rPr>
          <w:rFonts w:ascii="Times New Roman" w:hAnsi="Times New Roman" w:cs="Times New Roman"/>
          <w:i/>
          <w:iCs/>
          <w:sz w:val="24"/>
          <w:szCs w:val="24"/>
        </w:rPr>
        <w:t>/TA</w:t>
      </w:r>
      <w:r w:rsidRPr="00B51645">
        <w:rPr>
          <w:rFonts w:ascii="Times New Roman" w:hAnsi="Times New Roman" w:cs="Times New Roman"/>
          <w:i/>
          <w:iCs/>
          <w:sz w:val="24"/>
          <w:szCs w:val="24"/>
          <w:vertAlign w:val="subscript"/>
        </w:rPr>
        <w:t>i,t-1</w:t>
      </w:r>
      <w:r w:rsidR="00AE58E3">
        <w:rPr>
          <w:rFonts w:ascii="Times New Roman" w:hAnsi="Times New Roman" w:cs="Times New Roman"/>
          <w:sz w:val="24"/>
          <w:szCs w:val="24"/>
        </w:rPr>
        <w:t>.</w:t>
      </w:r>
    </w:p>
    <w:p w14:paraId="3EBD4428" w14:textId="77777777" w:rsidR="00AE58E3" w:rsidRDefault="00B51645" w:rsidP="00AE58E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r>
      <w:proofErr w:type="gramStart"/>
      <w:r w:rsidRPr="00B51645">
        <w:rPr>
          <w:rFonts w:ascii="Times New Roman" w:hAnsi="Times New Roman" w:cs="Times New Roman"/>
          <w:i/>
          <w:iCs/>
          <w:sz w:val="24"/>
          <w:szCs w:val="24"/>
        </w:rPr>
        <w:t>PROF</w:t>
      </w:r>
      <w:r w:rsidRPr="00B51645">
        <w:rPr>
          <w:rFonts w:ascii="Times New Roman Italic" w:hAnsi="Times New Roman Italic" w:cs="Times New Roman"/>
          <w:i/>
          <w:iCs/>
          <w:sz w:val="24"/>
          <w:szCs w:val="24"/>
          <w:vertAlign w:val="subscript"/>
        </w:rPr>
        <w:t>i,t</w:t>
      </w:r>
      <w:proofErr w:type="gramEnd"/>
      <w:r w:rsidRPr="00B51645">
        <w:rPr>
          <w:rFonts w:ascii="Times New Roman Italic" w:hAnsi="Times New Roman Italic" w:cs="Times New Roman"/>
          <w:i/>
          <w:iCs/>
          <w:sz w:val="24"/>
          <w:szCs w:val="24"/>
          <w:vertAlign w:val="subscript"/>
        </w:rPr>
        <w:t>-1</w:t>
      </w:r>
      <w:r w:rsidR="00AE58E3">
        <w:rPr>
          <w:rFonts w:ascii="Times New Roman Italic" w:hAnsi="Times New Roman Italic" w:cs="Times New Roman"/>
          <w:i/>
          <w:iCs/>
          <w:sz w:val="24"/>
          <w:szCs w:val="24"/>
          <w:vertAlign w:val="subscript"/>
        </w:rPr>
        <w:tab/>
      </w:r>
      <w:r>
        <w:rPr>
          <w:rFonts w:ascii="Times New Roman" w:hAnsi="Times New Roman" w:cs="Times New Roman"/>
          <w:sz w:val="24"/>
          <w:szCs w:val="24"/>
        </w:rPr>
        <w:t xml:space="preserve">= control variable for profitability: </w:t>
      </w:r>
      <w:r w:rsidRPr="00B51645">
        <w:rPr>
          <w:rFonts w:ascii="Times New Roman" w:hAnsi="Times New Roman" w:cs="Times New Roman"/>
          <w:i/>
          <w:iCs/>
          <w:sz w:val="24"/>
          <w:szCs w:val="24"/>
        </w:rPr>
        <w:t>EBITDA</w:t>
      </w:r>
      <w:r w:rsidRPr="00B51645">
        <w:rPr>
          <w:rFonts w:ascii="Times New Roman" w:hAnsi="Times New Roman" w:cs="Times New Roman"/>
          <w:i/>
          <w:iCs/>
          <w:sz w:val="24"/>
          <w:szCs w:val="24"/>
          <w:vertAlign w:val="subscript"/>
        </w:rPr>
        <w:t>i,t-1</w:t>
      </w:r>
      <w:r w:rsidRPr="00B51645">
        <w:rPr>
          <w:rFonts w:ascii="Times New Roman" w:hAnsi="Times New Roman" w:cs="Times New Roman"/>
          <w:i/>
          <w:iCs/>
          <w:sz w:val="24"/>
          <w:szCs w:val="24"/>
        </w:rPr>
        <w:t>/TA</w:t>
      </w:r>
      <w:r w:rsidRPr="00B51645">
        <w:rPr>
          <w:rFonts w:ascii="Times New Roman" w:hAnsi="Times New Roman" w:cs="Times New Roman"/>
          <w:i/>
          <w:iCs/>
          <w:sz w:val="24"/>
          <w:szCs w:val="24"/>
          <w:vertAlign w:val="subscript"/>
        </w:rPr>
        <w:t>i,t-1</w:t>
      </w:r>
      <w:r w:rsidR="00AE58E3">
        <w:rPr>
          <w:rFonts w:ascii="Times New Roman" w:hAnsi="Times New Roman" w:cs="Times New Roman"/>
          <w:sz w:val="24"/>
          <w:szCs w:val="24"/>
        </w:rPr>
        <w:t xml:space="preserve"> (</w:t>
      </w:r>
      <w:r w:rsidR="00AE58E3" w:rsidRPr="00BC7818">
        <w:rPr>
          <w:rFonts w:ascii="Times New Roman" w:hAnsi="Times New Roman" w:cs="Times New Roman"/>
          <w:i/>
          <w:iCs/>
          <w:sz w:val="24"/>
          <w:szCs w:val="24"/>
        </w:rPr>
        <w:t>EBITDA</w:t>
      </w:r>
      <w:r w:rsidR="00AE58E3">
        <w:rPr>
          <w:rFonts w:ascii="Times New Roman" w:hAnsi="Times New Roman" w:cs="Times New Roman"/>
          <w:sz w:val="24"/>
          <w:szCs w:val="24"/>
        </w:rPr>
        <w:t xml:space="preserve"> is calculated </w:t>
      </w:r>
    </w:p>
    <w:p w14:paraId="293AC6E9" w14:textId="77777777" w:rsidR="00010A89" w:rsidRDefault="00AE58E3" w:rsidP="00AE58E3">
      <w:pPr>
        <w:spacing w:after="0" w:line="240" w:lineRule="auto"/>
        <w:ind w:left="936" w:firstLine="936"/>
        <w:rPr>
          <w:rFonts w:ascii="Times New Roman" w:hAnsi="Times New Roman" w:cs="Times New Roman"/>
          <w:sz w:val="24"/>
          <w:szCs w:val="24"/>
        </w:rPr>
      </w:pPr>
      <w:r>
        <w:rPr>
          <w:rFonts w:ascii="Times New Roman" w:hAnsi="Times New Roman" w:cs="Times New Roman"/>
          <w:sz w:val="24"/>
          <w:szCs w:val="24"/>
        </w:rPr>
        <w:t xml:space="preserve">   from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variables in the following manner</w:t>
      </w:r>
      <w:r w:rsidR="00010A89">
        <w:rPr>
          <w:rFonts w:ascii="Times New Roman" w:hAnsi="Times New Roman" w:cs="Times New Roman"/>
          <w:sz w:val="24"/>
          <w:szCs w:val="24"/>
        </w:rPr>
        <w:t xml:space="preserve"> to reflect sales less cost </w:t>
      </w:r>
    </w:p>
    <w:p w14:paraId="16C41D0E" w14:textId="77777777" w:rsidR="00010A89" w:rsidRDefault="00010A89" w:rsidP="00AE58E3">
      <w:pPr>
        <w:spacing w:after="0" w:line="240" w:lineRule="auto"/>
        <w:ind w:left="936" w:firstLine="936"/>
        <w:rPr>
          <w:rFonts w:ascii="Times New Roman" w:hAnsi="Times New Roman" w:cs="Times New Roman"/>
          <w:sz w:val="24"/>
          <w:szCs w:val="24"/>
        </w:rPr>
      </w:pPr>
      <w:r>
        <w:rPr>
          <w:rFonts w:ascii="Times New Roman" w:hAnsi="Times New Roman" w:cs="Times New Roman"/>
          <w:sz w:val="24"/>
          <w:szCs w:val="24"/>
        </w:rPr>
        <w:t xml:space="preserve">   of goods sold less selling, general, and administrative expenses</w:t>
      </w:r>
      <w:r w:rsidR="00AE58E3">
        <w:rPr>
          <w:rFonts w:ascii="Times New Roman" w:hAnsi="Times New Roman" w:cs="Times New Roman"/>
          <w:sz w:val="24"/>
          <w:szCs w:val="24"/>
        </w:rPr>
        <w:t xml:space="preserve">: </w:t>
      </w:r>
      <w:r w:rsidR="00AE58E3" w:rsidRPr="00BC7818">
        <w:rPr>
          <w:rFonts w:ascii="Times New Roman" w:hAnsi="Times New Roman" w:cs="Times New Roman"/>
          <w:i/>
          <w:iCs/>
          <w:sz w:val="24"/>
          <w:szCs w:val="24"/>
        </w:rPr>
        <w:t>SALEQ</w:t>
      </w:r>
      <w:r w:rsidR="00E9088C">
        <w:rPr>
          <w:rFonts w:ascii="Times New Roman" w:hAnsi="Times New Roman" w:cs="Times New Roman"/>
          <w:sz w:val="24"/>
          <w:szCs w:val="24"/>
        </w:rPr>
        <w:t xml:space="preserve"> – </w:t>
      </w:r>
    </w:p>
    <w:p w14:paraId="7BB7C25B" w14:textId="4C5B7891" w:rsidR="00AE58E3" w:rsidRDefault="00010A89" w:rsidP="00010A89">
      <w:pPr>
        <w:spacing w:after="0" w:line="240" w:lineRule="auto"/>
        <w:ind w:left="1872"/>
        <w:rPr>
          <w:rFonts w:ascii="Times New Roman" w:hAnsi="Times New Roman" w:cs="Times New Roman"/>
          <w:sz w:val="24"/>
          <w:szCs w:val="24"/>
        </w:rPr>
      </w:pPr>
      <w:r>
        <w:rPr>
          <w:rFonts w:ascii="Times New Roman" w:hAnsi="Times New Roman" w:cs="Times New Roman"/>
          <w:sz w:val="24"/>
          <w:szCs w:val="24"/>
        </w:rPr>
        <w:t xml:space="preserve">   </w:t>
      </w:r>
      <w:r w:rsidR="00AE58E3" w:rsidRPr="00BC7818">
        <w:rPr>
          <w:rFonts w:ascii="Times New Roman" w:hAnsi="Times New Roman" w:cs="Times New Roman"/>
          <w:i/>
          <w:iCs/>
          <w:sz w:val="24"/>
          <w:szCs w:val="24"/>
        </w:rPr>
        <w:t>COGSQ</w:t>
      </w:r>
      <w:r w:rsidR="00E9088C">
        <w:rPr>
          <w:rFonts w:ascii="Times New Roman" w:hAnsi="Times New Roman" w:cs="Times New Roman"/>
          <w:sz w:val="24"/>
          <w:szCs w:val="24"/>
        </w:rPr>
        <w:t xml:space="preserve"> </w:t>
      </w:r>
      <w:r w:rsidR="00AE58E3">
        <w:rPr>
          <w:rFonts w:ascii="Times New Roman" w:hAnsi="Times New Roman" w:cs="Times New Roman"/>
          <w:sz w:val="24"/>
          <w:szCs w:val="24"/>
        </w:rPr>
        <w:t xml:space="preserve">- </w:t>
      </w:r>
      <w:r w:rsidR="00AE58E3" w:rsidRPr="00BC7818">
        <w:rPr>
          <w:rFonts w:ascii="Times New Roman" w:hAnsi="Times New Roman" w:cs="Times New Roman"/>
          <w:i/>
          <w:iCs/>
          <w:sz w:val="24"/>
          <w:szCs w:val="24"/>
        </w:rPr>
        <w:t>XSGAQ</w:t>
      </w:r>
      <w:r w:rsidR="00AE58E3">
        <w:rPr>
          <w:rFonts w:ascii="Times New Roman" w:hAnsi="Times New Roman" w:cs="Times New Roman"/>
          <w:sz w:val="24"/>
          <w:szCs w:val="24"/>
        </w:rPr>
        <w:t>)</w:t>
      </w:r>
      <w:r w:rsidR="00E9088C">
        <w:rPr>
          <w:rFonts w:ascii="Times New Roman" w:hAnsi="Times New Roman" w:cs="Times New Roman"/>
          <w:sz w:val="24"/>
          <w:szCs w:val="24"/>
        </w:rPr>
        <w:t>.</w:t>
      </w:r>
    </w:p>
    <w:p w14:paraId="3DFB71D9" w14:textId="19E27296" w:rsidR="00B51645" w:rsidRDefault="00B51645" w:rsidP="00AE58E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r>
      <w:proofErr w:type="gramStart"/>
      <w:r w:rsidRPr="00B51645">
        <w:rPr>
          <w:rFonts w:ascii="Times New Roman" w:hAnsi="Times New Roman" w:cs="Times New Roman"/>
          <w:i/>
          <w:iCs/>
          <w:sz w:val="24"/>
          <w:szCs w:val="24"/>
        </w:rPr>
        <w:t>SIZE</w:t>
      </w:r>
      <w:r w:rsidRPr="00B51645">
        <w:rPr>
          <w:rFonts w:ascii="Times New Roman Italic" w:hAnsi="Times New Roman Italic" w:cs="Times New Roman"/>
          <w:i/>
          <w:iCs/>
          <w:sz w:val="24"/>
          <w:szCs w:val="24"/>
          <w:vertAlign w:val="subscript"/>
        </w:rPr>
        <w:t>i,t</w:t>
      </w:r>
      <w:proofErr w:type="gramEnd"/>
      <w:r w:rsidRPr="00B51645">
        <w:rPr>
          <w:rFonts w:ascii="Times New Roman Italic" w:hAnsi="Times New Roman Italic" w:cs="Times New Roman"/>
          <w:i/>
          <w:iCs/>
          <w:sz w:val="24"/>
          <w:szCs w:val="24"/>
          <w:vertAlign w:val="subscript"/>
        </w:rPr>
        <w:t>-1</w:t>
      </w:r>
      <w:r>
        <w:rPr>
          <w:rFonts w:ascii="Times New Roman" w:hAnsi="Times New Roman" w:cs="Times New Roman"/>
          <w:sz w:val="24"/>
          <w:szCs w:val="24"/>
        </w:rPr>
        <w:tab/>
        <w:t xml:space="preserve">= </w:t>
      </w:r>
      <w:r w:rsidR="00AE58E3">
        <w:rPr>
          <w:rFonts w:ascii="Times New Roman" w:hAnsi="Times New Roman" w:cs="Times New Roman"/>
          <w:sz w:val="24"/>
          <w:szCs w:val="24"/>
        </w:rPr>
        <w:t>control variable for size: ln(Sales</w:t>
      </w:r>
      <w:r w:rsidR="00AE58E3" w:rsidRPr="00AE58E3">
        <w:rPr>
          <w:rFonts w:ascii="Times New Roman" w:hAnsi="Times New Roman" w:cs="Times New Roman"/>
          <w:sz w:val="24"/>
          <w:szCs w:val="24"/>
          <w:vertAlign w:val="subscript"/>
        </w:rPr>
        <w:t>i,t-1</w:t>
      </w:r>
      <w:r w:rsidR="00E9088C">
        <w:rPr>
          <w:rFonts w:ascii="Times New Roman" w:hAnsi="Times New Roman" w:cs="Times New Roman"/>
          <w:sz w:val="24"/>
          <w:szCs w:val="24"/>
        </w:rPr>
        <w:t>)</w:t>
      </w:r>
      <w:r w:rsidR="0063058C">
        <w:rPr>
          <w:rFonts w:ascii="Times New Roman" w:hAnsi="Times New Roman" w:cs="Times New Roman"/>
          <w:sz w:val="24"/>
          <w:szCs w:val="24"/>
        </w:rPr>
        <w:t xml:space="preserve"> </w:t>
      </w:r>
      <w:r w:rsidR="00E9088C">
        <w:rPr>
          <w:rFonts w:ascii="Times New Roman" w:hAnsi="Times New Roman" w:cs="Times New Roman"/>
          <w:sz w:val="24"/>
          <w:szCs w:val="24"/>
        </w:rPr>
        <w:t>(</w:t>
      </w:r>
      <w:proofErr w:type="spellStart"/>
      <w:r w:rsidR="00E9088C">
        <w:rPr>
          <w:rFonts w:ascii="Times New Roman" w:hAnsi="Times New Roman" w:cs="Times New Roman"/>
          <w:sz w:val="24"/>
          <w:szCs w:val="24"/>
        </w:rPr>
        <w:t>Compustat</w:t>
      </w:r>
      <w:proofErr w:type="spellEnd"/>
      <w:r w:rsidR="00E9088C">
        <w:rPr>
          <w:rFonts w:ascii="Times New Roman" w:hAnsi="Times New Roman" w:cs="Times New Roman"/>
          <w:sz w:val="24"/>
          <w:szCs w:val="24"/>
        </w:rPr>
        <w:t xml:space="preserve"> variable </w:t>
      </w:r>
      <w:r w:rsidR="00E9088C" w:rsidRPr="00BC7818">
        <w:rPr>
          <w:rFonts w:ascii="Times New Roman" w:hAnsi="Times New Roman" w:cs="Times New Roman"/>
          <w:i/>
          <w:iCs/>
          <w:sz w:val="24"/>
          <w:szCs w:val="24"/>
        </w:rPr>
        <w:t>SALEQ</w:t>
      </w:r>
      <w:r w:rsidR="00E9088C">
        <w:rPr>
          <w:rFonts w:ascii="Times New Roman" w:hAnsi="Times New Roman" w:cs="Times New Roman"/>
          <w:sz w:val="24"/>
          <w:szCs w:val="24"/>
        </w:rPr>
        <w:t>).</w:t>
      </w:r>
    </w:p>
    <w:p w14:paraId="2CAB4540" w14:textId="0A3F1280" w:rsidR="00995EBA" w:rsidRDefault="00E9088C" w:rsidP="0063058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Pr="0063058C">
        <w:rPr>
          <w:rFonts w:ascii="Times New Roman" w:hAnsi="Times New Roman" w:cs="Times New Roman"/>
          <w:i/>
          <w:iCs/>
          <w:sz w:val="24"/>
          <w:szCs w:val="24"/>
        </w:rPr>
        <w:t>NetDiss</w:t>
      </w:r>
      <w:r w:rsidRPr="0063058C">
        <w:rPr>
          <w:rFonts w:ascii="Times New Roman" w:hAnsi="Times New Roman" w:cs="Times New Roman"/>
          <w:i/>
          <w:iCs/>
          <w:sz w:val="24"/>
          <w:szCs w:val="24"/>
          <w:vertAlign w:val="subscript"/>
        </w:rPr>
        <w:t>i,t</w:t>
      </w:r>
      <w:proofErr w:type="spellEnd"/>
      <w:proofErr w:type="gramEnd"/>
      <w:r>
        <w:rPr>
          <w:rFonts w:ascii="Times New Roman" w:hAnsi="Times New Roman" w:cs="Times New Roman"/>
          <w:sz w:val="24"/>
          <w:szCs w:val="24"/>
        </w:rPr>
        <w:tab/>
        <w:t>= (</w:t>
      </w:r>
      <w:proofErr w:type="spellStart"/>
      <w:r w:rsidRPr="00643240">
        <w:rPr>
          <w:rFonts w:ascii="Times New Roman" w:hAnsi="Times New Roman" w:cs="Times New Roman"/>
          <w:i/>
          <w:iCs/>
          <w:sz w:val="24"/>
          <w:szCs w:val="24"/>
        </w:rPr>
        <w:t>ΔTD</w:t>
      </w:r>
      <w:r w:rsidRPr="00643240">
        <w:rPr>
          <w:rFonts w:ascii="Times New Roman" w:hAnsi="Times New Roman" w:cs="Times New Roman"/>
          <w:i/>
          <w:iCs/>
          <w:sz w:val="24"/>
          <w:szCs w:val="24"/>
          <w:vertAlign w:val="subscript"/>
        </w:rPr>
        <w:t>i</w:t>
      </w:r>
      <w:r>
        <w:rPr>
          <w:rFonts w:ascii="Times New Roman" w:hAnsi="Times New Roman" w:cs="Times New Roman"/>
          <w:i/>
          <w:iCs/>
          <w:sz w:val="24"/>
          <w:szCs w:val="24"/>
          <w:vertAlign w:val="subscript"/>
        </w:rPr>
        <w:t>,</w:t>
      </w:r>
      <w:r w:rsidRPr="00643240">
        <w:rPr>
          <w:rFonts w:ascii="Times New Roman" w:hAnsi="Times New Roman" w:cs="Times New Roman"/>
          <w:i/>
          <w:iCs/>
          <w:sz w:val="24"/>
          <w:szCs w:val="24"/>
          <w:vertAlign w:val="subscript"/>
        </w:rPr>
        <w:t>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w:t>
      </w:r>
      <w:proofErr w:type="spellStart"/>
      <w:r w:rsidRPr="00643240">
        <w:rPr>
          <w:rFonts w:ascii="Times New Roman" w:hAnsi="Times New Roman" w:cs="Times New Roman"/>
          <w:i/>
          <w:iCs/>
          <w:sz w:val="24"/>
          <w:szCs w:val="24"/>
        </w:rPr>
        <w:t>ΔTA</w:t>
      </w:r>
      <w:r w:rsidRPr="00643240">
        <w:rPr>
          <w:rFonts w:ascii="Times New Roman" w:hAnsi="Times New Roman" w:cs="Times New Roman"/>
          <w:i/>
          <w:iCs/>
          <w:sz w:val="24"/>
          <w:szCs w:val="24"/>
          <w:vertAlign w:val="subscript"/>
        </w:rPr>
        <w:t>i</w:t>
      </w:r>
      <w:r>
        <w:rPr>
          <w:rFonts w:ascii="Times New Roman" w:hAnsi="Times New Roman" w:cs="Times New Roman"/>
          <w:i/>
          <w:iCs/>
          <w:sz w:val="24"/>
          <w:szCs w:val="24"/>
          <w:vertAlign w:val="subscript"/>
        </w:rPr>
        <w:t>,</w:t>
      </w:r>
      <w:r w:rsidRPr="00643240">
        <w:rPr>
          <w:rFonts w:ascii="Times New Roman" w:hAnsi="Times New Roman" w:cs="Times New Roman"/>
          <w:i/>
          <w:iCs/>
          <w:sz w:val="24"/>
          <w:szCs w:val="24"/>
          <w:vertAlign w:val="subscript"/>
        </w:rPr>
        <w:t>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 </w:t>
      </w:r>
      <w:proofErr w:type="spellStart"/>
      <w:r w:rsidRPr="00643240">
        <w:rPr>
          <w:rFonts w:ascii="Times New Roman" w:hAnsi="Times New Roman" w:cs="Times New Roman"/>
          <w:i/>
          <w:iCs/>
          <w:sz w:val="24"/>
          <w:szCs w:val="24"/>
        </w:rPr>
        <w:t>ΔTD</w:t>
      </w:r>
      <w:r w:rsidRPr="00643240">
        <w:rPr>
          <w:rFonts w:ascii="Times New Roman" w:hAnsi="Times New Roman" w:cs="Times New Roman"/>
          <w:i/>
          <w:iCs/>
          <w:sz w:val="24"/>
          <w:szCs w:val="24"/>
          <w:vertAlign w:val="subscript"/>
        </w:rPr>
        <w:t>i</w:t>
      </w:r>
      <w:r>
        <w:rPr>
          <w:rFonts w:ascii="Times New Roman" w:hAnsi="Times New Roman" w:cs="Times New Roman"/>
          <w:i/>
          <w:iCs/>
          <w:sz w:val="24"/>
          <w:szCs w:val="24"/>
          <w:vertAlign w:val="subscript"/>
        </w:rPr>
        <w:t>,</w:t>
      </w:r>
      <w:r w:rsidRPr="00643240">
        <w:rPr>
          <w:rFonts w:ascii="Times New Roman" w:hAnsi="Times New Roman" w:cs="Times New Roman"/>
          <w:i/>
          <w:iCs/>
          <w:sz w:val="24"/>
          <w:szCs w:val="24"/>
          <w:vertAlign w:val="subscript"/>
        </w:rPr>
        <w:t>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 </w:t>
      </w:r>
      <w:proofErr w:type="spellStart"/>
      <w:r w:rsidRPr="0063058C">
        <w:rPr>
          <w:rFonts w:ascii="Times New Roman" w:hAnsi="Times New Roman" w:cs="Times New Roman"/>
          <w:i/>
          <w:iCs/>
          <w:sz w:val="24"/>
          <w:szCs w:val="24"/>
        </w:rPr>
        <w:t>RE</w:t>
      </w:r>
      <w:r w:rsidRPr="0063058C">
        <w:rPr>
          <w:rFonts w:ascii="Times New Roman" w:hAnsi="Times New Roman" w:cs="Times New Roman"/>
          <w:i/>
          <w:iCs/>
          <w:sz w:val="24"/>
          <w:szCs w:val="24"/>
          <w:vertAlign w:val="subscript"/>
        </w:rPr>
        <w:t>i,t</w:t>
      </w:r>
      <w:proofErr w:type="spellEnd"/>
      <w:r>
        <w:rPr>
          <w:rFonts w:ascii="Times New Roman" w:hAnsi="Times New Roman" w:cs="Times New Roman"/>
          <w:sz w:val="24"/>
          <w:szCs w:val="24"/>
        </w:rPr>
        <w:t>)</w:t>
      </w:r>
      <w:r w:rsidR="0063058C">
        <w:rPr>
          <w:rFonts w:ascii="Times New Roman" w:hAnsi="Times New Roman" w:cs="Times New Roman"/>
          <w:sz w:val="24"/>
          <w:szCs w:val="24"/>
        </w:rPr>
        <w:t>/</w:t>
      </w:r>
      <w:r w:rsidR="0063058C" w:rsidRPr="00643240">
        <w:rPr>
          <w:rFonts w:ascii="Times New Roman" w:hAnsi="Times New Roman" w:cs="Times New Roman"/>
          <w:i/>
          <w:iCs/>
          <w:sz w:val="24"/>
          <w:szCs w:val="24"/>
        </w:rPr>
        <w:t>TA</w:t>
      </w:r>
      <w:r w:rsidR="0063058C" w:rsidRPr="00643240">
        <w:rPr>
          <w:rFonts w:ascii="Times New Roman" w:hAnsi="Times New Roman" w:cs="Times New Roman"/>
          <w:i/>
          <w:iCs/>
          <w:sz w:val="24"/>
          <w:szCs w:val="24"/>
          <w:vertAlign w:val="subscript"/>
        </w:rPr>
        <w:t>it</w:t>
      </w:r>
      <w:r w:rsidR="00C339EE">
        <w:rPr>
          <w:rFonts w:ascii="Times New Roman" w:hAnsi="Times New Roman" w:cs="Times New Roman"/>
          <w:i/>
          <w:iCs/>
          <w:sz w:val="24"/>
          <w:szCs w:val="24"/>
          <w:vertAlign w:val="subscript"/>
        </w:rPr>
        <w:t>-1</w:t>
      </w:r>
      <w:r w:rsidR="0063058C">
        <w:rPr>
          <w:rFonts w:ascii="Times New Roman" w:hAnsi="Times New Roman" w:cs="Times New Roman"/>
          <w:sz w:val="24"/>
          <w:szCs w:val="24"/>
        </w:rPr>
        <w:t xml:space="preserve"> </w:t>
      </w:r>
      <w:r w:rsidR="00995EBA">
        <w:rPr>
          <w:rFonts w:ascii="Times New Roman" w:hAnsi="Times New Roman" w:cs="Times New Roman"/>
          <w:sz w:val="24"/>
          <w:szCs w:val="24"/>
        </w:rPr>
        <w:t xml:space="preserve"> or (</w:t>
      </w:r>
      <w:proofErr w:type="spellStart"/>
      <w:r w:rsidR="00995EBA" w:rsidRPr="00643240">
        <w:rPr>
          <w:rFonts w:ascii="Times New Roman" w:hAnsi="Times New Roman" w:cs="Times New Roman"/>
          <w:i/>
          <w:iCs/>
          <w:sz w:val="24"/>
          <w:szCs w:val="24"/>
        </w:rPr>
        <w:t>ΔTD</w:t>
      </w:r>
      <w:r w:rsidR="00995EBA" w:rsidRPr="00643240">
        <w:rPr>
          <w:rFonts w:ascii="Times New Roman" w:hAnsi="Times New Roman" w:cs="Times New Roman"/>
          <w:i/>
          <w:iCs/>
          <w:sz w:val="24"/>
          <w:szCs w:val="24"/>
          <w:vertAlign w:val="subscript"/>
        </w:rPr>
        <w:t>i</w:t>
      </w:r>
      <w:r w:rsidR="00995EBA">
        <w:rPr>
          <w:rFonts w:ascii="Times New Roman" w:hAnsi="Times New Roman" w:cs="Times New Roman"/>
          <w:i/>
          <w:iCs/>
          <w:sz w:val="24"/>
          <w:szCs w:val="24"/>
          <w:vertAlign w:val="subscript"/>
        </w:rPr>
        <w:t>,</w:t>
      </w:r>
      <w:r w:rsidR="00995EBA" w:rsidRPr="00643240">
        <w:rPr>
          <w:rFonts w:ascii="Times New Roman" w:hAnsi="Times New Roman" w:cs="Times New Roman"/>
          <w:i/>
          <w:iCs/>
          <w:sz w:val="24"/>
          <w:szCs w:val="24"/>
          <w:vertAlign w:val="subscript"/>
        </w:rPr>
        <w:t>t</w:t>
      </w:r>
      <w:proofErr w:type="spellEnd"/>
      <w:r w:rsidR="00995EBA">
        <w:rPr>
          <w:rFonts w:ascii="Times New Roman" w:hAnsi="Times New Roman" w:cs="Times New Roman"/>
          <w:i/>
          <w:iCs/>
          <w:sz w:val="24"/>
          <w:szCs w:val="24"/>
        </w:rPr>
        <w:t xml:space="preserve"> </w:t>
      </w:r>
      <w:r w:rsidR="00995EBA">
        <w:rPr>
          <w:rFonts w:ascii="Times New Roman" w:hAnsi="Times New Roman" w:cs="Times New Roman"/>
          <w:sz w:val="24"/>
          <w:szCs w:val="24"/>
        </w:rPr>
        <w:t xml:space="preserve">– </w:t>
      </w:r>
      <w:proofErr w:type="spellStart"/>
      <w:r w:rsidR="00995EBA" w:rsidRPr="00643240">
        <w:rPr>
          <w:rFonts w:ascii="Times New Roman" w:hAnsi="Times New Roman" w:cs="Times New Roman"/>
          <w:i/>
          <w:iCs/>
          <w:sz w:val="24"/>
          <w:szCs w:val="24"/>
        </w:rPr>
        <w:t>ΔT</w:t>
      </w:r>
      <w:r w:rsidR="00995EBA">
        <w:rPr>
          <w:rFonts w:ascii="Times New Roman" w:hAnsi="Times New Roman" w:cs="Times New Roman"/>
          <w:i/>
          <w:iCs/>
          <w:sz w:val="24"/>
          <w:szCs w:val="24"/>
        </w:rPr>
        <w:t>E</w:t>
      </w:r>
      <w:r w:rsidR="00995EBA" w:rsidRPr="00995EBA">
        <w:rPr>
          <w:rFonts w:ascii="Times New Roman Italic" w:hAnsi="Times New Roman Italic" w:cs="Times New Roman"/>
          <w:i/>
          <w:iCs/>
          <w:sz w:val="24"/>
          <w:szCs w:val="24"/>
          <w:vertAlign w:val="subscript"/>
        </w:rPr>
        <w:t>EA</w:t>
      </w:r>
      <w:r w:rsidR="00995EBA" w:rsidRPr="00643240">
        <w:rPr>
          <w:rFonts w:ascii="Times New Roman" w:hAnsi="Times New Roman" w:cs="Times New Roman"/>
          <w:i/>
          <w:iCs/>
          <w:sz w:val="24"/>
          <w:szCs w:val="24"/>
          <w:vertAlign w:val="subscript"/>
        </w:rPr>
        <w:t>i</w:t>
      </w:r>
      <w:r w:rsidR="00995EBA">
        <w:rPr>
          <w:rFonts w:ascii="Times New Roman" w:hAnsi="Times New Roman" w:cs="Times New Roman"/>
          <w:i/>
          <w:iCs/>
          <w:sz w:val="24"/>
          <w:szCs w:val="24"/>
          <w:vertAlign w:val="subscript"/>
        </w:rPr>
        <w:t>,</w:t>
      </w:r>
      <w:r w:rsidR="00995EBA" w:rsidRPr="0063058C">
        <w:rPr>
          <w:rFonts w:ascii="Times New Roman" w:hAnsi="Times New Roman" w:cs="Times New Roman"/>
          <w:i/>
          <w:iCs/>
          <w:sz w:val="24"/>
          <w:szCs w:val="24"/>
          <w:vertAlign w:val="subscript"/>
        </w:rPr>
        <w:t>t</w:t>
      </w:r>
      <w:proofErr w:type="spellEnd"/>
      <w:r w:rsidR="00995EBA">
        <w:rPr>
          <w:rFonts w:ascii="Times New Roman" w:hAnsi="Times New Roman" w:cs="Times New Roman"/>
          <w:sz w:val="24"/>
          <w:szCs w:val="24"/>
        </w:rPr>
        <w:t>)/</w:t>
      </w:r>
      <w:r w:rsidR="00995EBA" w:rsidRPr="00643240">
        <w:rPr>
          <w:rFonts w:ascii="Times New Roman" w:hAnsi="Times New Roman" w:cs="Times New Roman"/>
          <w:i/>
          <w:iCs/>
          <w:sz w:val="24"/>
          <w:szCs w:val="24"/>
        </w:rPr>
        <w:t>TA</w:t>
      </w:r>
      <w:r w:rsidR="00995EBA" w:rsidRPr="00643240">
        <w:rPr>
          <w:rFonts w:ascii="Times New Roman" w:hAnsi="Times New Roman" w:cs="Times New Roman"/>
          <w:i/>
          <w:iCs/>
          <w:sz w:val="24"/>
          <w:szCs w:val="24"/>
          <w:vertAlign w:val="subscript"/>
        </w:rPr>
        <w:t>it</w:t>
      </w:r>
      <w:r w:rsidR="00995EBA">
        <w:rPr>
          <w:rFonts w:ascii="Times New Roman" w:hAnsi="Times New Roman" w:cs="Times New Roman"/>
          <w:i/>
          <w:iCs/>
          <w:sz w:val="24"/>
          <w:szCs w:val="24"/>
          <w:vertAlign w:val="subscript"/>
        </w:rPr>
        <w:t>-1</w:t>
      </w:r>
    </w:p>
    <w:p w14:paraId="19E5620A" w14:textId="00257178" w:rsidR="0063058C" w:rsidRDefault="00995EBA" w:rsidP="00995EBA">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3058C">
        <w:rPr>
          <w:rFonts w:ascii="Times New Roman" w:hAnsi="Times New Roman" w:cs="Times New Roman"/>
          <w:sz w:val="24"/>
          <w:szCs w:val="24"/>
        </w:rPr>
        <w:t xml:space="preserve">(RE represents retained earnings and is </w:t>
      </w:r>
      <w:proofErr w:type="spellStart"/>
      <w:r w:rsidR="0063058C">
        <w:rPr>
          <w:rFonts w:ascii="Times New Roman" w:hAnsi="Times New Roman" w:cs="Times New Roman"/>
          <w:sz w:val="24"/>
          <w:szCs w:val="24"/>
        </w:rPr>
        <w:t>Compustat</w:t>
      </w:r>
      <w:proofErr w:type="spellEnd"/>
      <w:r w:rsidR="0063058C">
        <w:rPr>
          <w:rFonts w:ascii="Times New Roman" w:hAnsi="Times New Roman" w:cs="Times New Roman"/>
          <w:sz w:val="24"/>
          <w:szCs w:val="24"/>
        </w:rPr>
        <w:t xml:space="preserve"> variable </w:t>
      </w:r>
      <w:r w:rsidR="0063058C" w:rsidRPr="00BC7818">
        <w:rPr>
          <w:rFonts w:ascii="Times New Roman" w:hAnsi="Times New Roman" w:cs="Times New Roman"/>
          <w:i/>
          <w:iCs/>
          <w:sz w:val="24"/>
          <w:szCs w:val="24"/>
        </w:rPr>
        <w:t>REQ</w:t>
      </w:r>
      <w:r w:rsidR="0063058C">
        <w:rPr>
          <w:rFonts w:ascii="Times New Roman" w:hAnsi="Times New Roman" w:cs="Times New Roman"/>
          <w:sz w:val="24"/>
          <w:szCs w:val="24"/>
        </w:rPr>
        <w:t>).</w:t>
      </w:r>
    </w:p>
    <w:p w14:paraId="3369E969" w14:textId="15D0E7E4" w:rsidR="0063058C" w:rsidRDefault="0063058C" w:rsidP="0063058C">
      <w:pPr>
        <w:spacing w:after="0" w:line="240" w:lineRule="auto"/>
        <w:ind w:left="936" w:firstLine="936"/>
        <w:rPr>
          <w:rFonts w:ascii="Times New Roman" w:hAnsi="Times New Roman" w:cs="Times New Roman"/>
          <w:sz w:val="24"/>
          <w:szCs w:val="24"/>
        </w:rPr>
      </w:pPr>
    </w:p>
    <w:p w14:paraId="0A5CD8BE" w14:textId="26F3AC5E" w:rsidR="00DE128B" w:rsidRDefault="00DE128B" w:rsidP="0063058C">
      <w:pPr>
        <w:spacing w:after="0" w:line="240" w:lineRule="auto"/>
        <w:ind w:left="936" w:firstLine="936"/>
        <w:rPr>
          <w:rFonts w:ascii="Times New Roman" w:hAnsi="Times New Roman" w:cs="Times New Roman"/>
          <w:sz w:val="24"/>
          <w:szCs w:val="24"/>
        </w:rPr>
      </w:pPr>
    </w:p>
    <w:p w14:paraId="6D286697" w14:textId="77777777" w:rsidR="00DE128B" w:rsidRDefault="00DE128B" w:rsidP="0063058C">
      <w:pPr>
        <w:spacing w:after="0" w:line="240" w:lineRule="auto"/>
        <w:ind w:left="936" w:firstLine="936"/>
        <w:rPr>
          <w:rFonts w:ascii="Times New Roman" w:hAnsi="Times New Roman" w:cs="Times New Roman"/>
          <w:sz w:val="24"/>
          <w:szCs w:val="24"/>
        </w:rPr>
      </w:pPr>
    </w:p>
    <w:p w14:paraId="687B9DA5" w14:textId="049DCD27" w:rsidR="00214994" w:rsidRPr="00793F60" w:rsidRDefault="00214994" w:rsidP="00214994">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Empirical Results and Analysis</w:t>
      </w:r>
    </w:p>
    <w:p w14:paraId="37B45C8F" w14:textId="44B03BA7" w:rsidR="007505D8" w:rsidRDefault="007505D8" w:rsidP="00F13E0E">
      <w:pPr>
        <w:spacing w:after="0" w:line="240" w:lineRule="auto"/>
        <w:ind w:firstLine="360"/>
        <w:rPr>
          <w:rFonts w:ascii="Times New Roman" w:hAnsi="Times New Roman" w:cs="Times New Roman"/>
          <w:sz w:val="24"/>
          <w:szCs w:val="24"/>
        </w:rPr>
      </w:pPr>
    </w:p>
    <w:p w14:paraId="37ED5B46" w14:textId="69B75768" w:rsidR="007F5630" w:rsidRDefault="007F5630" w:rsidP="002C5607">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the results presented next, it important to note that firms are required to have data available over the full eight quarters measured PRE.  Thus, while survivorship bias exists over these eight quarters, no similar requirement on data is imposed when measured POST.  In obtaining the following figures, </w:t>
      </w:r>
      <w:r w:rsidR="00691A90">
        <w:rPr>
          <w:rFonts w:ascii="Times New Roman" w:hAnsi="Times New Roman" w:cs="Times New Roman"/>
          <w:sz w:val="24"/>
          <w:szCs w:val="24"/>
        </w:rPr>
        <w:t xml:space="preserve">we generally have more than </w:t>
      </w:r>
      <w:r w:rsidR="00085BA4">
        <w:rPr>
          <w:rFonts w:ascii="Times New Roman" w:hAnsi="Times New Roman" w:cs="Times New Roman"/>
          <w:sz w:val="24"/>
          <w:szCs w:val="24"/>
        </w:rPr>
        <w:t xml:space="preserve">30 observations used in </w:t>
      </w:r>
      <w:r>
        <w:rPr>
          <w:rFonts w:ascii="Times New Roman" w:hAnsi="Times New Roman" w:cs="Times New Roman"/>
          <w:sz w:val="24"/>
          <w:szCs w:val="24"/>
        </w:rPr>
        <w:t xml:space="preserve">calculating mean </w:t>
      </w:r>
      <w:r w:rsidRPr="007F5630">
        <w:rPr>
          <w:rFonts w:ascii="Times New Roman" w:hAnsi="Times New Roman" w:cs="Times New Roman"/>
          <w:i/>
          <w:iCs/>
          <w:sz w:val="24"/>
          <w:szCs w:val="24"/>
        </w:rPr>
        <w:t>TD/TA</w:t>
      </w:r>
      <w:r>
        <w:rPr>
          <w:rFonts w:ascii="Times New Roman" w:hAnsi="Times New Roman" w:cs="Times New Roman"/>
          <w:sz w:val="24"/>
          <w:szCs w:val="24"/>
        </w:rPr>
        <w:t xml:space="preserve"> or </w:t>
      </w:r>
      <w:r w:rsidRPr="007F5630">
        <w:rPr>
          <w:rFonts w:ascii="Times New Roman" w:hAnsi="Times New Roman" w:cs="Times New Roman"/>
          <w:i/>
          <w:iCs/>
          <w:sz w:val="24"/>
          <w:szCs w:val="24"/>
        </w:rPr>
        <w:t>LTD/TA</w:t>
      </w:r>
      <w:r>
        <w:rPr>
          <w:rFonts w:ascii="Times New Roman" w:hAnsi="Times New Roman" w:cs="Times New Roman"/>
          <w:sz w:val="24"/>
          <w:szCs w:val="24"/>
        </w:rPr>
        <w:t xml:space="preserve"> by quarter </w:t>
      </w:r>
      <w:r w:rsidR="00085BA4">
        <w:rPr>
          <w:rFonts w:ascii="Times New Roman" w:hAnsi="Times New Roman" w:cs="Times New Roman"/>
          <w:sz w:val="24"/>
          <w:szCs w:val="24"/>
        </w:rPr>
        <w:t xml:space="preserve">by rating.  </w:t>
      </w:r>
      <w:r w:rsidR="00691A90">
        <w:rPr>
          <w:rFonts w:ascii="Times New Roman" w:hAnsi="Times New Roman" w:cs="Times New Roman"/>
          <w:sz w:val="24"/>
          <w:szCs w:val="24"/>
        </w:rPr>
        <w:t xml:space="preserve">However, fewer than 30 are used at times with the more </w:t>
      </w:r>
      <w:r w:rsidR="00226FC8">
        <w:rPr>
          <w:rFonts w:ascii="Times New Roman" w:hAnsi="Times New Roman" w:cs="Times New Roman"/>
          <w:sz w:val="24"/>
          <w:szCs w:val="24"/>
        </w:rPr>
        <w:t xml:space="preserve">extreme </w:t>
      </w:r>
      <w:r w:rsidR="00085BA4">
        <w:rPr>
          <w:rFonts w:ascii="Times New Roman" w:hAnsi="Times New Roman" w:cs="Times New Roman"/>
          <w:sz w:val="24"/>
          <w:szCs w:val="24"/>
        </w:rPr>
        <w:t>rating categories of</w:t>
      </w:r>
      <w:r w:rsidR="00226FC8">
        <w:rPr>
          <w:rFonts w:ascii="Times New Roman" w:hAnsi="Times New Roman" w:cs="Times New Roman"/>
          <w:sz w:val="24"/>
          <w:szCs w:val="24"/>
        </w:rPr>
        <w:t xml:space="preserve"> AAA, AA+, AA, </w:t>
      </w:r>
      <w:r w:rsidR="00B24783">
        <w:rPr>
          <w:rFonts w:ascii="Times New Roman" w:hAnsi="Times New Roman" w:cs="Times New Roman"/>
          <w:sz w:val="24"/>
          <w:szCs w:val="24"/>
        </w:rPr>
        <w:t xml:space="preserve">AA-, A+, CCC-, CC, C and </w:t>
      </w:r>
      <w:r w:rsidR="00226FC8">
        <w:rPr>
          <w:rFonts w:ascii="Times New Roman" w:hAnsi="Times New Roman" w:cs="Times New Roman"/>
          <w:sz w:val="24"/>
          <w:szCs w:val="24"/>
        </w:rPr>
        <w:t xml:space="preserve">D for upgrades and </w:t>
      </w:r>
      <w:r w:rsidR="000D27AB">
        <w:rPr>
          <w:rFonts w:ascii="Times New Roman" w:hAnsi="Times New Roman" w:cs="Times New Roman"/>
          <w:sz w:val="24"/>
          <w:szCs w:val="24"/>
        </w:rPr>
        <w:t>AAA, AA+, C and D for downgrades</w:t>
      </w:r>
      <w:r w:rsidR="00226FC8">
        <w:rPr>
          <w:rFonts w:ascii="Times New Roman" w:hAnsi="Times New Roman" w:cs="Times New Roman"/>
          <w:sz w:val="24"/>
          <w:szCs w:val="24"/>
        </w:rPr>
        <w:t xml:space="preserve">.  </w:t>
      </w:r>
    </w:p>
    <w:p w14:paraId="39A129F1" w14:textId="77777777" w:rsidR="00C46BE1" w:rsidRDefault="00C46BE1" w:rsidP="00F13E0E">
      <w:pPr>
        <w:spacing w:after="0" w:line="240" w:lineRule="auto"/>
        <w:ind w:firstLine="360"/>
        <w:rPr>
          <w:rFonts w:ascii="Times New Roman" w:hAnsi="Times New Roman" w:cs="Times New Roman"/>
          <w:sz w:val="24"/>
          <w:szCs w:val="24"/>
        </w:rPr>
      </w:pPr>
    </w:p>
    <w:p w14:paraId="7A3CEDE2" w14:textId="4002BF8A" w:rsidR="00ED4292" w:rsidRPr="0032526C" w:rsidRDefault="00ED4292" w:rsidP="0032526C">
      <w:pPr>
        <w:pStyle w:val="ListParagraph"/>
        <w:numPr>
          <w:ilvl w:val="0"/>
          <w:numId w:val="7"/>
        </w:numPr>
        <w:spacing w:after="0" w:line="240" w:lineRule="auto"/>
        <w:rPr>
          <w:rFonts w:ascii="Times New Roman" w:hAnsi="Times New Roman" w:cs="Times New Roman"/>
          <w:b/>
          <w:bCs/>
          <w:i/>
          <w:iCs/>
          <w:color w:val="000000" w:themeColor="text1"/>
          <w:sz w:val="24"/>
          <w:szCs w:val="24"/>
        </w:rPr>
      </w:pPr>
      <w:r w:rsidRPr="0032526C">
        <w:rPr>
          <w:rFonts w:ascii="Times New Roman" w:hAnsi="Times New Roman" w:cs="Times New Roman"/>
          <w:b/>
          <w:bCs/>
          <w:i/>
          <w:iCs/>
          <w:color w:val="000000" w:themeColor="text1"/>
          <w:sz w:val="24"/>
          <w:szCs w:val="24"/>
        </w:rPr>
        <w:t xml:space="preserve">S&amp;P Rating Changes </w:t>
      </w:r>
      <w:r w:rsidR="00042B80" w:rsidRPr="0032526C">
        <w:rPr>
          <w:rFonts w:ascii="Times New Roman" w:hAnsi="Times New Roman" w:cs="Times New Roman"/>
          <w:b/>
          <w:bCs/>
          <w:i/>
          <w:iCs/>
          <w:color w:val="000000" w:themeColor="text1"/>
          <w:sz w:val="24"/>
          <w:szCs w:val="24"/>
        </w:rPr>
        <w:t xml:space="preserve">for Firms without and with </w:t>
      </w:r>
      <w:r w:rsidR="0016631A" w:rsidRPr="0032526C">
        <w:rPr>
          <w:rFonts w:ascii="Times New Roman" w:hAnsi="Times New Roman" w:cs="Times New Roman"/>
          <w:b/>
          <w:bCs/>
          <w:i/>
          <w:iCs/>
          <w:color w:val="000000" w:themeColor="text1"/>
          <w:sz w:val="24"/>
          <w:szCs w:val="24"/>
        </w:rPr>
        <w:t>CW announcements</w:t>
      </w:r>
    </w:p>
    <w:p w14:paraId="279F1D0E" w14:textId="77777777" w:rsidR="00ED4292" w:rsidRDefault="00ED4292" w:rsidP="00ED4292">
      <w:pPr>
        <w:spacing w:after="0" w:line="240" w:lineRule="auto"/>
        <w:rPr>
          <w:rFonts w:ascii="Times New Roman" w:hAnsi="Times New Roman" w:cs="Times New Roman"/>
          <w:sz w:val="24"/>
          <w:szCs w:val="24"/>
        </w:rPr>
      </w:pPr>
    </w:p>
    <w:p w14:paraId="38B35809" w14:textId="582F3307" w:rsidR="00841C31" w:rsidRDefault="00841C31"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Table 1, the total number of S&amp;P Domestic Long-Term Issuer Credit Rating changes from </w:t>
      </w:r>
      <w:proofErr w:type="gramStart"/>
      <w:r>
        <w:rPr>
          <w:rFonts w:ascii="Times New Roman" w:hAnsi="Times New Roman" w:cs="Times New Roman"/>
          <w:sz w:val="24"/>
          <w:szCs w:val="24"/>
        </w:rPr>
        <w:t>January,</w:t>
      </w:r>
      <w:proofErr w:type="gramEnd"/>
      <w:r>
        <w:rPr>
          <w:rFonts w:ascii="Times New Roman" w:hAnsi="Times New Roman" w:cs="Times New Roman"/>
          <w:sz w:val="24"/>
          <w:szCs w:val="24"/>
        </w:rPr>
        <w:t xml:space="preserve"> 1986, through February, 2017, from </w:t>
      </w:r>
      <w:proofErr w:type="spellStart"/>
      <w:r>
        <w:rPr>
          <w:rFonts w:ascii="Times New Roman" w:hAnsi="Times New Roman" w:cs="Times New Roman"/>
          <w:sz w:val="24"/>
          <w:szCs w:val="24"/>
        </w:rPr>
        <w:t>Compustat’s</w:t>
      </w:r>
      <w:proofErr w:type="spellEnd"/>
      <w:r>
        <w:rPr>
          <w:rFonts w:ascii="Times New Roman" w:hAnsi="Times New Roman" w:cs="Times New Roman"/>
          <w:sz w:val="24"/>
          <w:szCs w:val="24"/>
        </w:rPr>
        <w:t xml:space="preserve"> S&amp;P Ratings database are presented.  These results reflect the number and relative strength of upgrades (UP) and downgrades </w:t>
      </w:r>
      <w:r>
        <w:rPr>
          <w:rFonts w:ascii="Times New Roman" w:hAnsi="Times New Roman" w:cs="Times New Roman"/>
          <w:sz w:val="24"/>
          <w:szCs w:val="24"/>
        </w:rPr>
        <w:lastRenderedPageBreak/>
        <w:t xml:space="preserve">(DOWN) </w:t>
      </w:r>
      <w:r w:rsidR="007538CD">
        <w:rPr>
          <w:rFonts w:ascii="Times New Roman" w:hAnsi="Times New Roman" w:cs="Times New Roman"/>
          <w:sz w:val="24"/>
          <w:szCs w:val="24"/>
        </w:rPr>
        <w:t xml:space="preserve">of firms </w:t>
      </w:r>
      <w:r>
        <w:rPr>
          <w:rFonts w:ascii="Times New Roman" w:hAnsi="Times New Roman" w:cs="Times New Roman"/>
          <w:sz w:val="24"/>
          <w:szCs w:val="24"/>
        </w:rPr>
        <w:t xml:space="preserve">without preceding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From this table it is evident that most grade changes extend from the BBB through B ratings categories.  Overall, the UP/DOWN (3,301/3,904) ratio across all categories is .8455, indicating that for every upgrade, 1.18 downgrades occur, on average.  This ratio, however, is not consistent in value through the various categories reported.  For example, in moving from the initial AA+ high grade rating down through the beginning default CCC- rating, a defined inverted “U” pattern in the UP/DOWN ratio emerges.  Beginning with AA+ of .1875, UP/DOWN increases to a maximum of 1.5909 with BBB- before turning back down to .4375 with CCC-. Particularly noteworthy is the evidence of more upgrades than downgrades for categories BBB, BBB-, BB+, BB, and BB-.  </w:t>
      </w:r>
    </w:p>
    <w:p w14:paraId="20121D28" w14:textId="5CC97F9D" w:rsidR="00841C31" w:rsidRDefault="00841C31"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Assuming rating changes primarily reflect managerial attempts to obtain beneficial financing costs as CR-CS suggests, we should generally see greater relative upgrade activity in notch firms than non-notch firms.  However, when looking at UP/DOWN from AA+ through CCC-, it is evident that non-notch firms do not exhibit significantly lower UP/DOWN than that of notch firms.  For example, UP/DOWN for the “+,” non-notch, and “-,” categories for firms without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is .7943, .8268, and .8854, respectively.  Chi-square tests for differences in proportions indicates that UP/DOWN for non-notch categories is not significantly different from that computed for either of the notch categories. </w:t>
      </w:r>
    </w:p>
    <w:p w14:paraId="6966BC11" w14:textId="00BB7088" w:rsidR="00841C31" w:rsidRDefault="00841C31" w:rsidP="00DE128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Table 2 reveals the total number of S&amp;P rating changes with concurrent or preceding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recorded at some point in time over the 180-day time frame prior to and including the rating changes.  Thus, the rating change process for these firms begins with a placement announcement of “Watch Pos” (“Watch Neg”) and ends with an associated upgrade (downgrade).</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In this table, it is apparent that there are fewer rating changes accompanied by preceding placements when compared to the total number of rating changes in Table 1.   For example, of the 4,473 total upgrades across both samples, 26.20 percent of these are associated with preceding placements.   For the 7,134 total downgrades across both samples, 45.28 percent are associated with preceding placements.  Across all ratings categories, rating changes with preceding placements are associated with a substantially lower UP/DOWN ratio of .3628, indicating that for every upgrade, 2.76 downgrades occur, on average.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evidence of </w:t>
      </w:r>
      <w:r>
        <w:rPr>
          <w:rFonts w:ascii="Times New Roman" w:hAnsi="Times New Roman" w:cs="Times New Roman"/>
          <w:sz w:val="24"/>
          <w:szCs w:val="24"/>
        </w:rPr>
        <w:lastRenderedPageBreak/>
        <w:t xml:space="preserve">Table 1, this ratio is not consistent in value through all ratings categories and rises from .0625 for AA+ to .9600 for CC.  Thus, downgrades are greater than upgrades across all categories.  </w:t>
      </w:r>
    </w:p>
    <w:p w14:paraId="1AA8EDD0" w14:textId="614B2607" w:rsidR="00841C31" w:rsidRDefault="00841C31" w:rsidP="00FF68A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comparing UP/DOWN for notch firms with that of non-notch firms over categories AA+ through CCC-, the results </w:t>
      </w:r>
      <w:r w:rsidR="00BA25C6">
        <w:rPr>
          <w:rFonts w:ascii="Times New Roman" w:hAnsi="Times New Roman" w:cs="Times New Roman"/>
          <w:sz w:val="24"/>
          <w:szCs w:val="24"/>
        </w:rPr>
        <w:t>resemble</w:t>
      </w:r>
      <w:r>
        <w:rPr>
          <w:rFonts w:ascii="Times New Roman" w:hAnsi="Times New Roman" w:cs="Times New Roman"/>
          <w:sz w:val="24"/>
          <w:szCs w:val="24"/>
        </w:rPr>
        <w:t xml:space="preserve"> those found </w:t>
      </w:r>
      <w:r w:rsidR="009F5197">
        <w:rPr>
          <w:rFonts w:ascii="Times New Roman" w:hAnsi="Times New Roman" w:cs="Times New Roman"/>
          <w:sz w:val="24"/>
          <w:szCs w:val="24"/>
        </w:rPr>
        <w:t>for</w:t>
      </w:r>
      <w:r>
        <w:rPr>
          <w:rFonts w:ascii="Times New Roman" w:hAnsi="Times New Roman" w:cs="Times New Roman"/>
          <w:sz w:val="24"/>
          <w:szCs w:val="24"/>
        </w:rPr>
        <w:t xml:space="preserve"> Table 1; namely, UP/DOWN is not significantly lower than that of either of the notch categories.  For the “+,” non-notch, and “-,” categories for firms with </w:t>
      </w:r>
      <w:r w:rsidR="0016631A">
        <w:rPr>
          <w:rFonts w:ascii="Times New Roman" w:hAnsi="Times New Roman" w:cs="Times New Roman"/>
          <w:sz w:val="24"/>
          <w:szCs w:val="24"/>
        </w:rPr>
        <w:t>CW announcements</w:t>
      </w:r>
      <w:r>
        <w:rPr>
          <w:rFonts w:ascii="Times New Roman" w:hAnsi="Times New Roman" w:cs="Times New Roman"/>
          <w:sz w:val="24"/>
          <w:szCs w:val="24"/>
        </w:rPr>
        <w:t>, UP/DOWN is .3458, .3772, and .3527, respectively.  Chi-square tests for differences in UP/DOWN proportions between non-notch and either of the notch categories are again insignificant.</w:t>
      </w:r>
    </w:p>
    <w:p w14:paraId="779C1351" w14:textId="41F4A3E5" w:rsidR="00841C31" w:rsidRPr="00820842" w:rsidRDefault="00B91013" w:rsidP="008531E5">
      <w:pPr>
        <w:spacing w:line="360" w:lineRule="auto"/>
        <w:ind w:firstLine="360"/>
        <w:rPr>
          <w:rFonts w:ascii="Times New Roman" w:hAnsi="Times New Roman" w:cs="Times New Roman"/>
          <w:color w:val="000000" w:themeColor="text1"/>
          <w:sz w:val="24"/>
          <w:szCs w:val="24"/>
        </w:rPr>
      </w:pPr>
      <w:r>
        <w:rPr>
          <w:rFonts w:ascii="Times New Roman" w:hAnsi="Times New Roman" w:cs="Times New Roman"/>
          <w:sz w:val="24"/>
          <w:szCs w:val="24"/>
        </w:rPr>
        <w:t>Finally</w:t>
      </w:r>
      <w:r w:rsidR="00DE128B">
        <w:rPr>
          <w:rFonts w:ascii="Times New Roman" w:hAnsi="Times New Roman" w:cs="Times New Roman"/>
          <w:sz w:val="24"/>
          <w:szCs w:val="24"/>
        </w:rPr>
        <w:t>,</w:t>
      </w:r>
      <w:r>
        <w:rPr>
          <w:rFonts w:ascii="Times New Roman" w:hAnsi="Times New Roman" w:cs="Times New Roman"/>
          <w:sz w:val="24"/>
          <w:szCs w:val="24"/>
        </w:rPr>
        <w:t xml:space="preserve"> w</w:t>
      </w:r>
      <w:r w:rsidR="00841C31">
        <w:rPr>
          <w:rFonts w:ascii="Times New Roman" w:hAnsi="Times New Roman" w:cs="Times New Roman"/>
          <w:sz w:val="24"/>
          <w:szCs w:val="24"/>
        </w:rPr>
        <w:t xml:space="preserve">hen </w:t>
      </w:r>
      <w:r>
        <w:rPr>
          <w:rFonts w:ascii="Times New Roman" w:hAnsi="Times New Roman" w:cs="Times New Roman"/>
          <w:sz w:val="24"/>
          <w:szCs w:val="24"/>
        </w:rPr>
        <w:t xml:space="preserve">the results in Table 1 for firms without CW announcements are compared with those in Table 2 for firms with CW announcements, </w:t>
      </w:r>
      <w:r w:rsidR="00841C31">
        <w:rPr>
          <w:rFonts w:ascii="Times New Roman" w:hAnsi="Times New Roman" w:cs="Times New Roman"/>
          <w:sz w:val="24"/>
          <w:szCs w:val="24"/>
        </w:rPr>
        <w:t xml:space="preserve">two differences are noteworthy.  First, </w:t>
      </w:r>
      <w:r w:rsidR="00841C31" w:rsidRPr="00820842">
        <w:rPr>
          <w:rFonts w:ascii="Times New Roman" w:hAnsi="Times New Roman" w:cs="Times New Roman"/>
          <w:color w:val="000000" w:themeColor="text1"/>
          <w:sz w:val="24"/>
          <w:szCs w:val="24"/>
        </w:rPr>
        <w:t>UP/DOWN across all categories in Table 1 is significantly greater than UP/DOWN in Table 2 (χ</w:t>
      </w:r>
      <w:r w:rsidR="00841C31" w:rsidRPr="00820842">
        <w:rPr>
          <w:rFonts w:ascii="Times New Roman" w:hAnsi="Times New Roman" w:cs="Times New Roman"/>
          <w:color w:val="000000" w:themeColor="text1"/>
          <w:sz w:val="24"/>
          <w:szCs w:val="24"/>
          <w:vertAlign w:val="superscript"/>
        </w:rPr>
        <w:t xml:space="preserve">2 </w:t>
      </w:r>
      <w:r w:rsidR="00841C31" w:rsidRPr="00820842">
        <w:rPr>
          <w:rFonts w:ascii="Times New Roman" w:hAnsi="Times New Roman" w:cs="Times New Roman"/>
          <w:color w:val="000000" w:themeColor="text1"/>
          <w:sz w:val="24"/>
          <w:szCs w:val="24"/>
        </w:rPr>
        <w:t>= 406.03, p-value &lt; .0001) and reflects primarily strong significant differences in proportions across each of the A+ through B ratings categories.</w:t>
      </w:r>
      <w:r w:rsidR="00841C31" w:rsidRPr="00820842">
        <w:rPr>
          <w:rStyle w:val="FootnoteReference"/>
          <w:rFonts w:ascii="Times New Roman" w:hAnsi="Times New Roman" w:cs="Times New Roman"/>
          <w:color w:val="000000" w:themeColor="text1"/>
          <w:sz w:val="24"/>
          <w:szCs w:val="24"/>
        </w:rPr>
        <w:footnoteReference w:id="5"/>
      </w:r>
      <w:r w:rsidR="00841C31" w:rsidRPr="00820842">
        <w:rPr>
          <w:rFonts w:ascii="Times New Roman" w:hAnsi="Times New Roman" w:cs="Times New Roman"/>
          <w:color w:val="000000" w:themeColor="text1"/>
          <w:sz w:val="24"/>
          <w:szCs w:val="24"/>
        </w:rPr>
        <w:t xml:space="preserve"> Thus, there is considerably stronger downgrade activity per upgrade for firms with </w:t>
      </w:r>
      <w:r w:rsidR="0016631A" w:rsidRPr="00820842">
        <w:rPr>
          <w:rFonts w:ascii="Times New Roman" w:hAnsi="Times New Roman" w:cs="Times New Roman"/>
          <w:color w:val="000000" w:themeColor="text1"/>
          <w:sz w:val="24"/>
          <w:szCs w:val="24"/>
        </w:rPr>
        <w:t>CW announcements</w:t>
      </w:r>
      <w:r w:rsidR="00841C31" w:rsidRPr="00820842">
        <w:rPr>
          <w:rFonts w:ascii="Times New Roman" w:hAnsi="Times New Roman" w:cs="Times New Roman"/>
          <w:color w:val="000000" w:themeColor="text1"/>
          <w:sz w:val="24"/>
          <w:szCs w:val="24"/>
        </w:rPr>
        <w:t xml:space="preserve"> than for those without, suggesting that S&amp;P is generally more “dialed-in” on potential harm than good for firms and, thus, emphasizes advanced notice of downgrades over upgrades.  For firms in or near default for categories CCC+ through D, however, UP/DOWN is higher for firms with </w:t>
      </w:r>
      <w:r w:rsidR="0016631A" w:rsidRPr="00820842">
        <w:rPr>
          <w:rFonts w:ascii="Times New Roman" w:hAnsi="Times New Roman" w:cs="Times New Roman"/>
          <w:color w:val="000000" w:themeColor="text1"/>
          <w:sz w:val="24"/>
          <w:szCs w:val="24"/>
        </w:rPr>
        <w:t>CW announcements</w:t>
      </w:r>
      <w:r w:rsidR="00841C31" w:rsidRPr="00820842">
        <w:rPr>
          <w:rFonts w:ascii="Times New Roman" w:hAnsi="Times New Roman" w:cs="Times New Roman"/>
          <w:color w:val="000000" w:themeColor="text1"/>
          <w:sz w:val="24"/>
          <w:szCs w:val="24"/>
        </w:rPr>
        <w:t xml:space="preserve"> than for firms without.  Second, the inverted “U” pattern detected in Table 1 is not prevalent in Table 2.  That is, UP/DOWN at first increases from AA+ to BBB- in a more subdued manner to that found in Table 1.  Beyond that, it increases and exceeds that of Table 1 beyond the B rating.  These results suggest that placements may have a material impact on firms near or at default levels that lead to relatively greater improvements in credit conditions over those without placements.</w:t>
      </w:r>
    </w:p>
    <w:p w14:paraId="0878F361" w14:textId="08585E96" w:rsidR="0032526C" w:rsidRPr="0032526C" w:rsidRDefault="0032526C" w:rsidP="008531E5">
      <w:pPr>
        <w:pStyle w:val="ListParagraph"/>
        <w:numPr>
          <w:ilvl w:val="0"/>
          <w:numId w:val="7"/>
        </w:numPr>
        <w:spacing w:line="360" w:lineRule="auto"/>
        <w:rPr>
          <w:rFonts w:ascii="Times New Roman" w:hAnsi="Times New Roman" w:cs="Times New Roman"/>
          <w:b/>
          <w:i/>
          <w:sz w:val="24"/>
          <w:szCs w:val="24"/>
        </w:rPr>
      </w:pPr>
      <w:r w:rsidRPr="0032526C">
        <w:rPr>
          <w:rFonts w:ascii="Times New Roman" w:hAnsi="Times New Roman" w:cs="Times New Roman"/>
          <w:b/>
          <w:i/>
          <w:sz w:val="24"/>
          <w:szCs w:val="24"/>
        </w:rPr>
        <w:t>Relative Debt Changes Surrounding Upgrades and Downgrades</w:t>
      </w:r>
    </w:p>
    <w:p w14:paraId="555222FB" w14:textId="79B6BCB8" w:rsidR="00FA23FE" w:rsidRDefault="00114A55" w:rsidP="008531E5">
      <w:pPr>
        <w:spacing w:line="360" w:lineRule="auto"/>
        <w:ind w:firstLine="360"/>
        <w:rPr>
          <w:rFonts w:ascii="Times New Roman" w:hAnsi="Times New Roman" w:cs="Times New Roman"/>
          <w:sz w:val="24"/>
          <w:szCs w:val="24"/>
        </w:rPr>
      </w:pPr>
      <w:r>
        <w:rPr>
          <w:rFonts w:ascii="Times New Roman" w:hAnsi="Times New Roman" w:cs="Times New Roman"/>
          <w:sz w:val="24"/>
          <w:szCs w:val="24"/>
        </w:rPr>
        <w:t>T</w:t>
      </w:r>
      <w:r w:rsidR="00615DE6">
        <w:rPr>
          <w:rFonts w:ascii="Times New Roman" w:hAnsi="Times New Roman" w:cs="Times New Roman"/>
          <w:sz w:val="24"/>
          <w:szCs w:val="24"/>
        </w:rPr>
        <w:t xml:space="preserve">he results </w:t>
      </w:r>
      <w:r>
        <w:rPr>
          <w:rFonts w:ascii="Times New Roman" w:hAnsi="Times New Roman" w:cs="Times New Roman"/>
          <w:sz w:val="24"/>
          <w:szCs w:val="24"/>
        </w:rPr>
        <w:t xml:space="preserve">above </w:t>
      </w:r>
      <w:r w:rsidR="00615DE6">
        <w:rPr>
          <w:rFonts w:ascii="Times New Roman" w:hAnsi="Times New Roman" w:cs="Times New Roman"/>
          <w:sz w:val="24"/>
          <w:szCs w:val="24"/>
        </w:rPr>
        <w:t xml:space="preserve">do not explicitly include analysis of debt structure adjustments over time surrounding rating changes.  In the next section, we examine how relative debt levels </w:t>
      </w:r>
      <w:r w:rsidR="00EE318B" w:rsidRPr="00EE318B">
        <w:rPr>
          <w:rFonts w:ascii="Times New Roman" w:hAnsi="Times New Roman" w:cs="Times New Roman"/>
          <w:i/>
          <w:sz w:val="24"/>
          <w:szCs w:val="24"/>
        </w:rPr>
        <w:t>TD/TA</w:t>
      </w:r>
      <w:r w:rsidR="00615DE6">
        <w:rPr>
          <w:rFonts w:ascii="Times New Roman" w:hAnsi="Times New Roman" w:cs="Times New Roman"/>
          <w:sz w:val="24"/>
          <w:szCs w:val="24"/>
        </w:rPr>
        <w:t xml:space="preserve"> and </w:t>
      </w:r>
      <w:r w:rsidR="00EE318B" w:rsidRPr="00EE318B">
        <w:rPr>
          <w:rFonts w:ascii="Times New Roman" w:hAnsi="Times New Roman" w:cs="Times New Roman"/>
          <w:i/>
          <w:sz w:val="24"/>
          <w:szCs w:val="24"/>
        </w:rPr>
        <w:t>LTD/TA</w:t>
      </w:r>
      <w:r w:rsidR="00615DE6">
        <w:rPr>
          <w:rFonts w:ascii="Times New Roman" w:hAnsi="Times New Roman" w:cs="Times New Roman"/>
          <w:sz w:val="24"/>
          <w:szCs w:val="24"/>
        </w:rPr>
        <w:t xml:space="preserve"> change by pre-change rating and quarter across each of eight quarters PRE and POST for rating change firms.  </w:t>
      </w:r>
      <w:r w:rsidR="00615DE6" w:rsidRPr="00CF5FDA">
        <w:rPr>
          <w:rFonts w:ascii="Times New Roman" w:hAnsi="Times New Roman" w:cs="Times New Roman"/>
          <w:sz w:val="24"/>
          <w:szCs w:val="24"/>
        </w:rPr>
        <w:t xml:space="preserve">Figure </w:t>
      </w:r>
      <w:r w:rsidR="00615DE6">
        <w:rPr>
          <w:rFonts w:ascii="Times New Roman" w:hAnsi="Times New Roman" w:cs="Times New Roman"/>
          <w:sz w:val="24"/>
          <w:szCs w:val="24"/>
        </w:rPr>
        <w:t xml:space="preserve">1 (2) and Panel A (B) of Table 3 focus on </w:t>
      </w:r>
      <w:r w:rsidR="00EE318B" w:rsidRPr="00EE318B">
        <w:rPr>
          <w:rFonts w:ascii="Times New Roman" w:hAnsi="Times New Roman" w:cs="Times New Roman"/>
          <w:i/>
          <w:sz w:val="24"/>
          <w:szCs w:val="24"/>
        </w:rPr>
        <w:t>TD/TA</w:t>
      </w:r>
      <w:r w:rsidR="00615DE6">
        <w:rPr>
          <w:rFonts w:ascii="Times New Roman" w:hAnsi="Times New Roman" w:cs="Times New Roman"/>
          <w:sz w:val="24"/>
          <w:szCs w:val="24"/>
        </w:rPr>
        <w:t xml:space="preserve"> movement surrounding the rating change process for upgraded (downgraded) firms without </w:t>
      </w:r>
      <w:r w:rsidR="0016631A">
        <w:rPr>
          <w:rFonts w:ascii="Times New Roman" w:hAnsi="Times New Roman" w:cs="Times New Roman"/>
          <w:sz w:val="24"/>
          <w:szCs w:val="24"/>
        </w:rPr>
        <w:t xml:space="preserve">CW </w:t>
      </w:r>
      <w:r w:rsidR="0016631A">
        <w:rPr>
          <w:rFonts w:ascii="Times New Roman" w:hAnsi="Times New Roman" w:cs="Times New Roman"/>
          <w:sz w:val="24"/>
          <w:szCs w:val="24"/>
        </w:rPr>
        <w:lastRenderedPageBreak/>
        <w:t>announcements</w:t>
      </w:r>
      <w:r w:rsidR="00615DE6">
        <w:rPr>
          <w:rFonts w:ascii="Times New Roman" w:hAnsi="Times New Roman" w:cs="Times New Roman"/>
          <w:sz w:val="24"/>
          <w:szCs w:val="24"/>
        </w:rPr>
        <w:t xml:space="preserve"> whereas Figure 3 (4) and Panel A (B) of Table 4 provide similar analysis for firms with </w:t>
      </w:r>
      <w:r w:rsidR="0016631A">
        <w:rPr>
          <w:rFonts w:ascii="Times New Roman" w:hAnsi="Times New Roman" w:cs="Times New Roman"/>
          <w:sz w:val="24"/>
          <w:szCs w:val="24"/>
        </w:rPr>
        <w:t>CW announcements</w:t>
      </w:r>
      <w:r w:rsidR="00615DE6">
        <w:rPr>
          <w:rFonts w:ascii="Times New Roman" w:hAnsi="Times New Roman" w:cs="Times New Roman"/>
          <w:sz w:val="24"/>
          <w:szCs w:val="24"/>
        </w:rPr>
        <w:t>.</w:t>
      </w:r>
      <w:r w:rsidR="00615DE6">
        <w:rPr>
          <w:rStyle w:val="FootnoteReference"/>
          <w:rFonts w:ascii="Times New Roman" w:hAnsi="Times New Roman" w:cs="Times New Roman"/>
          <w:sz w:val="24"/>
          <w:szCs w:val="24"/>
        </w:rPr>
        <w:footnoteReference w:id="6"/>
      </w:r>
      <w:r w:rsidR="00615DE6">
        <w:rPr>
          <w:rFonts w:ascii="Times New Roman" w:hAnsi="Times New Roman" w:cs="Times New Roman"/>
          <w:sz w:val="24"/>
          <w:szCs w:val="24"/>
        </w:rPr>
        <w:t xml:space="preserve">  The results in these figures and tables begin to more closely examine the timing and degree to which the rating change process influences net debt structure adjustments by management (or vice-versa).</w:t>
      </w:r>
      <w:r w:rsidR="001D1F7A">
        <w:rPr>
          <w:rStyle w:val="FootnoteReference"/>
          <w:rFonts w:ascii="Times New Roman" w:hAnsi="Times New Roman" w:cs="Times New Roman"/>
          <w:sz w:val="24"/>
          <w:szCs w:val="24"/>
        </w:rPr>
        <w:footnoteReference w:id="7"/>
      </w:r>
      <w:r w:rsidR="007B0300">
        <w:rPr>
          <w:rFonts w:ascii="Times New Roman" w:hAnsi="Times New Roman" w:cs="Times New Roman"/>
          <w:sz w:val="24"/>
          <w:szCs w:val="24"/>
        </w:rPr>
        <w:t xml:space="preserve">  We first present upgrade and downgrade results associated with firms without CW placements in sections B1 and B2, respectively, because </w:t>
      </w:r>
      <w:proofErr w:type="spellStart"/>
      <w:r w:rsidR="007B0300">
        <w:rPr>
          <w:rFonts w:ascii="Times New Roman" w:hAnsi="Times New Roman" w:cs="Times New Roman"/>
          <w:sz w:val="24"/>
          <w:szCs w:val="24"/>
        </w:rPr>
        <w:t>Kisgen</w:t>
      </w:r>
      <w:proofErr w:type="spellEnd"/>
      <w:r w:rsidR="007B0300">
        <w:rPr>
          <w:rFonts w:ascii="Times New Roman" w:hAnsi="Times New Roman" w:cs="Times New Roman"/>
          <w:sz w:val="24"/>
          <w:szCs w:val="24"/>
        </w:rPr>
        <w:t xml:space="preserve"> (2006) does not include firms with CW placements in his sample.  </w:t>
      </w:r>
      <w:r w:rsidR="00FA23FE">
        <w:rPr>
          <w:rFonts w:ascii="Times New Roman" w:hAnsi="Times New Roman" w:cs="Times New Roman"/>
          <w:sz w:val="24"/>
          <w:szCs w:val="24"/>
        </w:rPr>
        <w:t>In sections B3 and B4, we present upgrade and downgrade results associated with firms with CW announcements</w:t>
      </w:r>
      <w:r w:rsidR="005E04AF">
        <w:rPr>
          <w:rFonts w:ascii="Times New Roman" w:hAnsi="Times New Roman" w:cs="Times New Roman"/>
          <w:sz w:val="24"/>
          <w:szCs w:val="24"/>
        </w:rPr>
        <w:t xml:space="preserve">, respectively.  </w:t>
      </w:r>
    </w:p>
    <w:p w14:paraId="632B35CA" w14:textId="32C506C9" w:rsidR="004210F6" w:rsidRDefault="00A9618C" w:rsidP="008531E5">
      <w:pPr>
        <w:spacing w:line="360" w:lineRule="auto"/>
        <w:ind w:firstLine="360"/>
        <w:rPr>
          <w:rFonts w:ascii="Times New Roman" w:hAnsi="Times New Roman" w:cs="Times New Roman"/>
          <w:b/>
          <w:bCs/>
          <w:i/>
          <w:iCs/>
          <w:color w:val="000000" w:themeColor="text1"/>
          <w:sz w:val="24"/>
          <w:szCs w:val="24"/>
        </w:rPr>
      </w:pPr>
      <w:bookmarkStart w:id="11" w:name="_Hlk63333821"/>
      <w:r>
        <w:rPr>
          <w:rFonts w:ascii="Times New Roman" w:hAnsi="Times New Roman" w:cs="Times New Roman"/>
          <w:b/>
          <w:bCs/>
          <w:i/>
          <w:iCs/>
          <w:color w:val="000000" w:themeColor="text1"/>
          <w:sz w:val="24"/>
          <w:szCs w:val="24"/>
        </w:rPr>
        <w:t xml:space="preserve">B1. Non-CW Announcement </w:t>
      </w:r>
      <w:r w:rsidR="00DA0FB1">
        <w:rPr>
          <w:rFonts w:ascii="Times New Roman" w:hAnsi="Times New Roman" w:cs="Times New Roman"/>
          <w:b/>
          <w:bCs/>
          <w:i/>
          <w:iCs/>
          <w:color w:val="000000" w:themeColor="text1"/>
          <w:sz w:val="24"/>
          <w:szCs w:val="24"/>
        </w:rPr>
        <w:t>Upgraded Firms</w:t>
      </w:r>
      <w:bookmarkEnd w:id="11"/>
      <w:r w:rsidR="00CB5010" w:rsidRPr="00F51088">
        <w:rPr>
          <w:rFonts w:ascii="Times New Roman" w:hAnsi="Times New Roman" w:cs="Times New Roman"/>
          <w:b/>
          <w:bCs/>
          <w:i/>
          <w:iCs/>
          <w:color w:val="000000" w:themeColor="text1"/>
          <w:sz w:val="24"/>
          <w:szCs w:val="24"/>
        </w:rPr>
        <w:t xml:space="preserve">: Figure </w:t>
      </w:r>
      <w:r w:rsidR="00192760" w:rsidRPr="00F51088">
        <w:rPr>
          <w:rFonts w:ascii="Times New Roman" w:hAnsi="Times New Roman" w:cs="Times New Roman"/>
          <w:b/>
          <w:bCs/>
          <w:i/>
          <w:iCs/>
          <w:color w:val="000000" w:themeColor="text1"/>
          <w:sz w:val="24"/>
          <w:szCs w:val="24"/>
        </w:rPr>
        <w:t xml:space="preserve">1, </w:t>
      </w:r>
      <w:r w:rsidR="00CB5010" w:rsidRPr="00F51088">
        <w:rPr>
          <w:rFonts w:ascii="Times New Roman" w:hAnsi="Times New Roman" w:cs="Times New Roman"/>
          <w:b/>
          <w:bCs/>
          <w:i/>
          <w:iCs/>
          <w:color w:val="000000" w:themeColor="text1"/>
          <w:sz w:val="24"/>
          <w:szCs w:val="24"/>
        </w:rPr>
        <w:t>Panel A of Table 3</w:t>
      </w:r>
    </w:p>
    <w:p w14:paraId="78C0D363" w14:textId="627D419E" w:rsidR="00EF694E" w:rsidRDefault="004210F6" w:rsidP="00FF68A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w:t>
      </w:r>
      <w:r w:rsidR="001D2B1A">
        <w:rPr>
          <w:rFonts w:ascii="Times New Roman" w:hAnsi="Times New Roman" w:cs="Times New Roman"/>
          <w:sz w:val="24"/>
          <w:szCs w:val="24"/>
        </w:rPr>
        <w:t>F</w:t>
      </w:r>
      <w:r w:rsidR="0026560A">
        <w:rPr>
          <w:rFonts w:ascii="Times New Roman" w:hAnsi="Times New Roman" w:cs="Times New Roman"/>
          <w:sz w:val="24"/>
          <w:szCs w:val="24"/>
        </w:rPr>
        <w:t>igure 1</w:t>
      </w:r>
      <w:r>
        <w:rPr>
          <w:rFonts w:ascii="Times New Roman" w:hAnsi="Times New Roman" w:cs="Times New Roman"/>
          <w:sz w:val="24"/>
          <w:szCs w:val="24"/>
        </w:rPr>
        <w:t xml:space="preserve">, </w:t>
      </w:r>
      <w:r w:rsidR="0026560A">
        <w:rPr>
          <w:rFonts w:ascii="Times New Roman" w:hAnsi="Times New Roman" w:cs="Times New Roman"/>
          <w:sz w:val="24"/>
          <w:szCs w:val="24"/>
        </w:rPr>
        <w:t xml:space="preserve">a </w:t>
      </w:r>
      <w:r w:rsidR="00B17A17">
        <w:rPr>
          <w:rFonts w:ascii="Times New Roman" w:hAnsi="Times New Roman" w:cs="Times New Roman"/>
          <w:sz w:val="24"/>
          <w:szCs w:val="24"/>
        </w:rPr>
        <w:t xml:space="preserve">slightly “U”-shaped but </w:t>
      </w:r>
      <w:r w:rsidR="008424D8">
        <w:rPr>
          <w:rFonts w:ascii="Times New Roman" w:hAnsi="Times New Roman" w:cs="Times New Roman"/>
          <w:sz w:val="24"/>
          <w:szCs w:val="24"/>
        </w:rPr>
        <w:t xml:space="preserve">relatively flat path </w:t>
      </w:r>
      <w:r w:rsidR="0026560A">
        <w:rPr>
          <w:rFonts w:ascii="Times New Roman" w:hAnsi="Times New Roman" w:cs="Times New Roman"/>
          <w:sz w:val="24"/>
          <w:szCs w:val="24"/>
        </w:rPr>
        <w:t xml:space="preserve">in </w:t>
      </w:r>
      <w:r w:rsidR="00EE318B" w:rsidRPr="00EE318B">
        <w:rPr>
          <w:rFonts w:ascii="Times New Roman" w:hAnsi="Times New Roman" w:cs="Times New Roman"/>
          <w:i/>
          <w:sz w:val="24"/>
          <w:szCs w:val="24"/>
        </w:rPr>
        <w:t>TD/TA</w:t>
      </w:r>
      <w:r w:rsidR="0026560A">
        <w:rPr>
          <w:rFonts w:ascii="Times New Roman" w:hAnsi="Times New Roman" w:cs="Times New Roman"/>
          <w:sz w:val="24"/>
          <w:szCs w:val="24"/>
        </w:rPr>
        <w:t xml:space="preserve"> through PRE </w:t>
      </w:r>
      <w:r w:rsidR="008424D8">
        <w:rPr>
          <w:rFonts w:ascii="Times New Roman" w:hAnsi="Times New Roman" w:cs="Times New Roman"/>
          <w:sz w:val="24"/>
          <w:szCs w:val="24"/>
        </w:rPr>
        <w:t xml:space="preserve">and POST </w:t>
      </w:r>
      <w:r>
        <w:rPr>
          <w:rFonts w:ascii="Times New Roman" w:hAnsi="Times New Roman" w:cs="Times New Roman"/>
          <w:sz w:val="24"/>
          <w:szCs w:val="24"/>
        </w:rPr>
        <w:t xml:space="preserve">exists </w:t>
      </w:r>
      <w:r w:rsidR="0026560A">
        <w:rPr>
          <w:rFonts w:ascii="Times New Roman" w:hAnsi="Times New Roman" w:cs="Times New Roman"/>
          <w:sz w:val="24"/>
          <w:szCs w:val="24"/>
        </w:rPr>
        <w:t xml:space="preserve">for </w:t>
      </w:r>
      <w:r w:rsidR="00F00EB8">
        <w:rPr>
          <w:rFonts w:ascii="Times New Roman" w:hAnsi="Times New Roman" w:cs="Times New Roman"/>
          <w:sz w:val="24"/>
          <w:szCs w:val="24"/>
        </w:rPr>
        <w:t xml:space="preserve">the higher-rated </w:t>
      </w:r>
      <w:r w:rsidR="00C919D2">
        <w:rPr>
          <w:rFonts w:ascii="Times New Roman" w:hAnsi="Times New Roman" w:cs="Times New Roman"/>
          <w:sz w:val="24"/>
          <w:szCs w:val="24"/>
        </w:rPr>
        <w:t>IG</w:t>
      </w:r>
      <w:r w:rsidR="001D2B1A">
        <w:rPr>
          <w:rFonts w:ascii="Times New Roman" w:hAnsi="Times New Roman" w:cs="Times New Roman"/>
          <w:sz w:val="24"/>
          <w:szCs w:val="24"/>
        </w:rPr>
        <w:t xml:space="preserve"> </w:t>
      </w:r>
      <w:r w:rsidR="0026560A">
        <w:rPr>
          <w:rFonts w:ascii="Times New Roman" w:hAnsi="Times New Roman" w:cs="Times New Roman"/>
          <w:sz w:val="24"/>
          <w:szCs w:val="24"/>
        </w:rPr>
        <w:t xml:space="preserve">firms </w:t>
      </w:r>
      <w:r w:rsidR="00B17A17">
        <w:rPr>
          <w:rFonts w:ascii="Times New Roman" w:hAnsi="Times New Roman" w:cs="Times New Roman"/>
          <w:sz w:val="24"/>
          <w:szCs w:val="24"/>
        </w:rPr>
        <w:t xml:space="preserve">compared </w:t>
      </w:r>
      <w:r w:rsidR="001D2B1A">
        <w:rPr>
          <w:rFonts w:ascii="Times New Roman" w:hAnsi="Times New Roman" w:cs="Times New Roman"/>
          <w:sz w:val="24"/>
          <w:szCs w:val="24"/>
        </w:rPr>
        <w:t xml:space="preserve">to </w:t>
      </w:r>
      <w:r w:rsidR="00C65553">
        <w:rPr>
          <w:rFonts w:ascii="Times New Roman" w:hAnsi="Times New Roman" w:cs="Times New Roman"/>
          <w:sz w:val="24"/>
          <w:szCs w:val="24"/>
        </w:rPr>
        <w:t>the lower-rated</w:t>
      </w:r>
      <w:r w:rsidR="001D2B1A">
        <w:rPr>
          <w:rFonts w:ascii="Times New Roman" w:hAnsi="Times New Roman" w:cs="Times New Roman"/>
          <w:sz w:val="24"/>
          <w:szCs w:val="24"/>
        </w:rPr>
        <w:t xml:space="preserve"> SG firms</w:t>
      </w:r>
      <w:r w:rsidR="0026560A">
        <w:rPr>
          <w:rFonts w:ascii="Times New Roman" w:hAnsi="Times New Roman" w:cs="Times New Roman"/>
          <w:sz w:val="24"/>
          <w:szCs w:val="24"/>
        </w:rPr>
        <w:t xml:space="preserve">.  </w:t>
      </w:r>
      <w:r w:rsidR="00F76C53">
        <w:rPr>
          <w:rFonts w:ascii="Times New Roman" w:hAnsi="Times New Roman" w:cs="Times New Roman"/>
          <w:sz w:val="24"/>
          <w:szCs w:val="24"/>
        </w:rPr>
        <w:t xml:space="preserve">SG firms display greater volatility in </w:t>
      </w:r>
      <w:r w:rsidR="00EE318B" w:rsidRPr="00EE318B">
        <w:rPr>
          <w:rFonts w:ascii="Times New Roman" w:hAnsi="Times New Roman" w:cs="Times New Roman"/>
          <w:i/>
          <w:sz w:val="24"/>
          <w:szCs w:val="24"/>
        </w:rPr>
        <w:t>TD/TA</w:t>
      </w:r>
      <w:r w:rsidR="00F76C53">
        <w:rPr>
          <w:rFonts w:ascii="Times New Roman" w:hAnsi="Times New Roman" w:cs="Times New Roman"/>
          <w:sz w:val="24"/>
          <w:szCs w:val="24"/>
        </w:rPr>
        <w:t xml:space="preserve"> than IG firms both PRE and POST.  Further, when looking at levels of </w:t>
      </w:r>
      <w:r w:rsidR="00EE318B" w:rsidRPr="00EE318B">
        <w:rPr>
          <w:rFonts w:ascii="Times New Roman" w:hAnsi="Times New Roman" w:cs="Times New Roman"/>
          <w:i/>
          <w:sz w:val="24"/>
          <w:szCs w:val="24"/>
        </w:rPr>
        <w:t>TD/TA</w:t>
      </w:r>
      <w:r w:rsidR="00F76C53">
        <w:rPr>
          <w:rFonts w:ascii="Times New Roman" w:hAnsi="Times New Roman" w:cs="Times New Roman"/>
          <w:sz w:val="24"/>
          <w:szCs w:val="24"/>
        </w:rPr>
        <w:t xml:space="preserve"> by rating, </w:t>
      </w:r>
      <w:r w:rsidR="00EE318B" w:rsidRPr="00EE318B">
        <w:rPr>
          <w:rFonts w:ascii="Times New Roman" w:hAnsi="Times New Roman" w:cs="Times New Roman"/>
          <w:i/>
          <w:sz w:val="24"/>
          <w:szCs w:val="24"/>
        </w:rPr>
        <w:t>TD/TA</w:t>
      </w:r>
      <w:r w:rsidR="00EF694E">
        <w:rPr>
          <w:rFonts w:ascii="Times New Roman" w:hAnsi="Times New Roman" w:cs="Times New Roman"/>
          <w:sz w:val="24"/>
          <w:szCs w:val="24"/>
        </w:rPr>
        <w:t xml:space="preserve"> appears generally inversely related to rating with higher (lower) rated firms </w:t>
      </w:r>
      <w:r w:rsidR="00D153DD">
        <w:rPr>
          <w:rFonts w:ascii="Times New Roman" w:hAnsi="Times New Roman" w:cs="Times New Roman"/>
          <w:sz w:val="24"/>
          <w:szCs w:val="24"/>
        </w:rPr>
        <w:t>displaying</w:t>
      </w:r>
      <w:r w:rsidR="00EF694E">
        <w:rPr>
          <w:rFonts w:ascii="Times New Roman" w:hAnsi="Times New Roman" w:cs="Times New Roman"/>
          <w:sz w:val="24"/>
          <w:szCs w:val="24"/>
        </w:rPr>
        <w:t xml:space="preserve"> correspondingly lower (higher) </w:t>
      </w:r>
      <w:r w:rsidR="00D153DD">
        <w:rPr>
          <w:rFonts w:ascii="Times New Roman" w:hAnsi="Times New Roman" w:cs="Times New Roman"/>
          <w:sz w:val="24"/>
          <w:szCs w:val="24"/>
        </w:rPr>
        <w:t xml:space="preserve">relative </w:t>
      </w:r>
      <w:r w:rsidR="00EF694E">
        <w:rPr>
          <w:rFonts w:ascii="Times New Roman" w:hAnsi="Times New Roman" w:cs="Times New Roman"/>
          <w:sz w:val="24"/>
          <w:szCs w:val="24"/>
        </w:rPr>
        <w:t xml:space="preserve">levels of </w:t>
      </w:r>
      <w:r w:rsidR="00F76C53">
        <w:rPr>
          <w:rFonts w:ascii="Times New Roman" w:hAnsi="Times New Roman" w:cs="Times New Roman"/>
          <w:sz w:val="24"/>
          <w:szCs w:val="24"/>
        </w:rPr>
        <w:t xml:space="preserve">total </w:t>
      </w:r>
      <w:r w:rsidR="00EF694E">
        <w:rPr>
          <w:rFonts w:ascii="Times New Roman" w:hAnsi="Times New Roman" w:cs="Times New Roman"/>
          <w:sz w:val="24"/>
          <w:szCs w:val="24"/>
        </w:rPr>
        <w:t>debt</w:t>
      </w:r>
      <w:r w:rsidR="00D153DD">
        <w:rPr>
          <w:rFonts w:ascii="Times New Roman" w:hAnsi="Times New Roman" w:cs="Times New Roman"/>
          <w:sz w:val="24"/>
          <w:szCs w:val="24"/>
        </w:rPr>
        <w:t>.</w:t>
      </w:r>
    </w:p>
    <w:p w14:paraId="7BDFC3B2" w14:textId="1BD842AA" w:rsidR="000E506F" w:rsidRDefault="008424D8" w:rsidP="008531E5">
      <w:pPr>
        <w:spacing w:line="360" w:lineRule="auto"/>
        <w:ind w:firstLine="360"/>
        <w:rPr>
          <w:rFonts w:ascii="Times New Roman" w:hAnsi="Times New Roman" w:cs="Times New Roman"/>
          <w:sz w:val="24"/>
          <w:szCs w:val="24"/>
        </w:rPr>
      </w:pPr>
      <w:r w:rsidRPr="00394215">
        <w:rPr>
          <w:rFonts w:ascii="Times New Roman" w:hAnsi="Times New Roman" w:cs="Times New Roman"/>
          <w:color w:val="000000" w:themeColor="text1"/>
          <w:sz w:val="24"/>
          <w:szCs w:val="24"/>
        </w:rPr>
        <w:t xml:space="preserve">In </w:t>
      </w:r>
      <w:r w:rsidR="00A165BD" w:rsidRPr="00394215">
        <w:rPr>
          <w:rFonts w:ascii="Times New Roman" w:hAnsi="Times New Roman" w:cs="Times New Roman"/>
          <w:color w:val="000000" w:themeColor="text1"/>
          <w:sz w:val="24"/>
          <w:szCs w:val="24"/>
        </w:rPr>
        <w:t xml:space="preserve">Panel A of </w:t>
      </w:r>
      <w:r w:rsidRPr="00394215">
        <w:rPr>
          <w:rFonts w:ascii="Times New Roman" w:hAnsi="Times New Roman" w:cs="Times New Roman"/>
          <w:color w:val="000000" w:themeColor="text1"/>
          <w:sz w:val="24"/>
          <w:szCs w:val="24"/>
        </w:rPr>
        <w:t xml:space="preserve">Table 3 </w:t>
      </w:r>
      <w:r w:rsidR="00705960" w:rsidRPr="00394215">
        <w:rPr>
          <w:rFonts w:ascii="Times New Roman" w:hAnsi="Times New Roman" w:cs="Times New Roman"/>
          <w:color w:val="000000" w:themeColor="text1"/>
          <w:sz w:val="24"/>
          <w:szCs w:val="24"/>
        </w:rPr>
        <w:t xml:space="preserve">looking at the difference between </w:t>
      </w:r>
      <w:r w:rsidRPr="00394215">
        <w:rPr>
          <w:rFonts w:ascii="Times New Roman" w:hAnsi="Times New Roman" w:cs="Times New Roman"/>
          <w:color w:val="000000" w:themeColor="text1"/>
          <w:sz w:val="24"/>
          <w:szCs w:val="24"/>
        </w:rPr>
        <w:t xml:space="preserve">mean </w:t>
      </w:r>
      <w:r w:rsidR="00EE318B" w:rsidRPr="00EE318B">
        <w:rPr>
          <w:rFonts w:ascii="Times New Roman" w:hAnsi="Times New Roman" w:cs="Times New Roman"/>
          <w:i/>
          <w:color w:val="000000" w:themeColor="text1"/>
          <w:sz w:val="24"/>
          <w:szCs w:val="24"/>
        </w:rPr>
        <w:t>TD/TA</w:t>
      </w:r>
      <w:r w:rsidRPr="00394215">
        <w:rPr>
          <w:rFonts w:ascii="Times New Roman" w:hAnsi="Times New Roman" w:cs="Times New Roman"/>
          <w:color w:val="000000" w:themeColor="text1"/>
          <w:sz w:val="24"/>
          <w:szCs w:val="24"/>
        </w:rPr>
        <w:t xml:space="preserve"> ratios </w:t>
      </w:r>
      <w:r w:rsidR="002D5293" w:rsidRPr="00394215">
        <w:rPr>
          <w:rFonts w:ascii="Times New Roman" w:hAnsi="Times New Roman" w:cs="Times New Roman"/>
          <w:color w:val="000000" w:themeColor="text1"/>
          <w:sz w:val="24"/>
          <w:szCs w:val="24"/>
        </w:rPr>
        <w:t xml:space="preserve">PRE and POST </w:t>
      </w:r>
      <w:r w:rsidRPr="00394215">
        <w:rPr>
          <w:rFonts w:ascii="Times New Roman" w:hAnsi="Times New Roman" w:cs="Times New Roman"/>
          <w:color w:val="000000" w:themeColor="text1"/>
          <w:sz w:val="24"/>
          <w:szCs w:val="24"/>
        </w:rPr>
        <w:t xml:space="preserve">by </w:t>
      </w:r>
      <w:r w:rsidR="006B4BEA" w:rsidRPr="00394215">
        <w:rPr>
          <w:rFonts w:ascii="Times New Roman" w:hAnsi="Times New Roman" w:cs="Times New Roman"/>
          <w:color w:val="000000" w:themeColor="text1"/>
          <w:sz w:val="24"/>
          <w:szCs w:val="24"/>
        </w:rPr>
        <w:t xml:space="preserve">pre-changed </w:t>
      </w:r>
      <w:r w:rsidRPr="00394215">
        <w:rPr>
          <w:rFonts w:ascii="Times New Roman" w:hAnsi="Times New Roman" w:cs="Times New Roman"/>
          <w:color w:val="000000" w:themeColor="text1"/>
          <w:sz w:val="24"/>
          <w:szCs w:val="24"/>
        </w:rPr>
        <w:t>rating</w:t>
      </w:r>
      <w:r w:rsidR="005E25B2" w:rsidRPr="00394215">
        <w:rPr>
          <w:rFonts w:ascii="Times New Roman" w:hAnsi="Times New Roman" w:cs="Times New Roman"/>
          <w:color w:val="000000" w:themeColor="text1"/>
          <w:sz w:val="24"/>
          <w:szCs w:val="24"/>
        </w:rPr>
        <w:t xml:space="preserve"> for upgraded firms with no </w:t>
      </w:r>
      <w:r w:rsidR="0016631A" w:rsidRPr="00394215">
        <w:rPr>
          <w:rFonts w:ascii="Times New Roman" w:hAnsi="Times New Roman" w:cs="Times New Roman"/>
          <w:color w:val="000000" w:themeColor="text1"/>
          <w:sz w:val="24"/>
          <w:szCs w:val="24"/>
        </w:rPr>
        <w:t>CW announcements</w:t>
      </w:r>
      <w:r w:rsidRPr="00394215">
        <w:rPr>
          <w:rFonts w:ascii="Times New Roman" w:hAnsi="Times New Roman" w:cs="Times New Roman"/>
          <w:color w:val="000000" w:themeColor="text1"/>
          <w:sz w:val="24"/>
          <w:szCs w:val="24"/>
        </w:rPr>
        <w:t xml:space="preserve">, no significant </w:t>
      </w:r>
      <w:r w:rsidR="00705960" w:rsidRPr="00394215">
        <w:rPr>
          <w:rFonts w:ascii="Times New Roman" w:hAnsi="Times New Roman" w:cs="Times New Roman"/>
          <w:color w:val="000000" w:themeColor="text1"/>
          <w:sz w:val="24"/>
          <w:szCs w:val="24"/>
        </w:rPr>
        <w:t>difference</w:t>
      </w:r>
      <w:r w:rsidRPr="00394215">
        <w:rPr>
          <w:rFonts w:ascii="Times New Roman" w:hAnsi="Times New Roman" w:cs="Times New Roman"/>
          <w:color w:val="000000" w:themeColor="text1"/>
          <w:sz w:val="24"/>
          <w:szCs w:val="24"/>
        </w:rPr>
        <w:t xml:space="preserve"> </w:t>
      </w:r>
      <w:r w:rsidR="002D5293" w:rsidRPr="00394215">
        <w:rPr>
          <w:rFonts w:ascii="Times New Roman" w:hAnsi="Times New Roman" w:cs="Times New Roman"/>
          <w:color w:val="000000" w:themeColor="text1"/>
          <w:sz w:val="24"/>
          <w:szCs w:val="24"/>
        </w:rPr>
        <w:t>is o</w:t>
      </w:r>
      <w:r w:rsidRPr="00394215">
        <w:rPr>
          <w:rFonts w:ascii="Times New Roman" w:hAnsi="Times New Roman" w:cs="Times New Roman"/>
          <w:color w:val="000000" w:themeColor="text1"/>
          <w:sz w:val="24"/>
          <w:szCs w:val="24"/>
        </w:rPr>
        <w:t xml:space="preserve">bserved for </w:t>
      </w:r>
      <w:r w:rsidR="00D75DF1" w:rsidRPr="00394215">
        <w:rPr>
          <w:rFonts w:ascii="Times New Roman" w:hAnsi="Times New Roman" w:cs="Times New Roman"/>
          <w:color w:val="000000" w:themeColor="text1"/>
          <w:sz w:val="24"/>
          <w:szCs w:val="24"/>
        </w:rPr>
        <w:t xml:space="preserve">IG </w:t>
      </w:r>
      <w:r w:rsidRPr="00394215">
        <w:rPr>
          <w:rFonts w:ascii="Times New Roman" w:hAnsi="Times New Roman" w:cs="Times New Roman"/>
          <w:color w:val="000000" w:themeColor="text1"/>
          <w:sz w:val="24"/>
          <w:szCs w:val="24"/>
        </w:rPr>
        <w:t>ratings AA+ through BBB-.</w:t>
      </w:r>
      <w:r w:rsidR="00DD53C0" w:rsidRPr="00394215">
        <w:rPr>
          <w:rStyle w:val="FootnoteReference"/>
          <w:rFonts w:ascii="Times New Roman" w:hAnsi="Times New Roman" w:cs="Times New Roman"/>
          <w:color w:val="000000" w:themeColor="text1"/>
          <w:sz w:val="24"/>
          <w:szCs w:val="24"/>
        </w:rPr>
        <w:footnoteReference w:id="8"/>
      </w:r>
      <w:r w:rsidRPr="00394215">
        <w:rPr>
          <w:rFonts w:ascii="Times New Roman" w:hAnsi="Times New Roman" w:cs="Times New Roman"/>
          <w:color w:val="000000" w:themeColor="text1"/>
          <w:sz w:val="24"/>
          <w:szCs w:val="24"/>
        </w:rPr>
        <w:t xml:space="preserve">  When focusing on SG firms</w:t>
      </w:r>
      <w:r w:rsidR="00D75DF1" w:rsidRPr="00394215">
        <w:rPr>
          <w:rFonts w:ascii="Times New Roman" w:hAnsi="Times New Roman" w:cs="Times New Roman"/>
          <w:color w:val="000000" w:themeColor="text1"/>
          <w:sz w:val="24"/>
          <w:szCs w:val="24"/>
        </w:rPr>
        <w:t xml:space="preserve"> with ratings from BB+ through D</w:t>
      </w:r>
      <w:r w:rsidRPr="00394215">
        <w:rPr>
          <w:rFonts w:ascii="Times New Roman" w:hAnsi="Times New Roman" w:cs="Times New Roman"/>
          <w:color w:val="000000" w:themeColor="text1"/>
          <w:sz w:val="24"/>
          <w:szCs w:val="24"/>
        </w:rPr>
        <w:t xml:space="preserve">, though, </w:t>
      </w:r>
      <w:r w:rsidR="00034827" w:rsidRPr="00394215">
        <w:rPr>
          <w:rFonts w:ascii="Times New Roman" w:hAnsi="Times New Roman" w:cs="Times New Roman"/>
          <w:color w:val="000000" w:themeColor="text1"/>
          <w:sz w:val="24"/>
          <w:szCs w:val="24"/>
        </w:rPr>
        <w:t>PR</w:t>
      </w:r>
      <w:r w:rsidR="002D5293" w:rsidRPr="00394215">
        <w:rPr>
          <w:rFonts w:ascii="Times New Roman" w:hAnsi="Times New Roman" w:cs="Times New Roman"/>
          <w:color w:val="000000" w:themeColor="text1"/>
          <w:sz w:val="24"/>
          <w:szCs w:val="24"/>
        </w:rPr>
        <w:t xml:space="preserve">E </w:t>
      </w:r>
      <w:r w:rsidR="00EE318B" w:rsidRPr="00EE318B">
        <w:rPr>
          <w:rFonts w:ascii="Times New Roman" w:hAnsi="Times New Roman" w:cs="Times New Roman"/>
          <w:i/>
          <w:color w:val="000000" w:themeColor="text1"/>
          <w:sz w:val="24"/>
          <w:szCs w:val="24"/>
        </w:rPr>
        <w:t>TD/TA</w:t>
      </w:r>
      <w:r w:rsidR="002D5293" w:rsidRPr="00394215">
        <w:rPr>
          <w:rFonts w:ascii="Times New Roman" w:hAnsi="Times New Roman" w:cs="Times New Roman"/>
          <w:color w:val="000000" w:themeColor="text1"/>
          <w:sz w:val="24"/>
          <w:szCs w:val="24"/>
        </w:rPr>
        <w:t xml:space="preserve"> is significantly greater than POST </w:t>
      </w:r>
      <w:r w:rsidR="00EE318B" w:rsidRPr="00EE318B">
        <w:rPr>
          <w:rFonts w:ascii="Times New Roman" w:hAnsi="Times New Roman" w:cs="Times New Roman"/>
          <w:i/>
          <w:color w:val="000000" w:themeColor="text1"/>
          <w:sz w:val="24"/>
          <w:szCs w:val="24"/>
        </w:rPr>
        <w:t>TD/TA</w:t>
      </w:r>
      <w:r w:rsidR="002D5293" w:rsidRPr="00394215">
        <w:rPr>
          <w:rFonts w:ascii="Times New Roman" w:hAnsi="Times New Roman" w:cs="Times New Roman"/>
          <w:color w:val="000000" w:themeColor="text1"/>
          <w:sz w:val="24"/>
          <w:szCs w:val="24"/>
        </w:rPr>
        <w:t xml:space="preserve"> for almost all categories</w:t>
      </w:r>
      <w:r w:rsidR="00705960" w:rsidRPr="00394215">
        <w:rPr>
          <w:rFonts w:ascii="Times New Roman" w:hAnsi="Times New Roman" w:cs="Times New Roman"/>
          <w:color w:val="000000" w:themeColor="text1"/>
          <w:sz w:val="24"/>
          <w:szCs w:val="24"/>
        </w:rPr>
        <w:t xml:space="preserve">, suggesting that </w:t>
      </w:r>
      <w:r w:rsidR="00C75BDF" w:rsidRPr="00394215">
        <w:rPr>
          <w:rFonts w:ascii="Times New Roman" w:hAnsi="Times New Roman" w:cs="Times New Roman"/>
          <w:color w:val="000000" w:themeColor="text1"/>
          <w:sz w:val="24"/>
          <w:szCs w:val="24"/>
        </w:rPr>
        <w:t xml:space="preserve">SG firms generally lower </w:t>
      </w:r>
      <w:r w:rsidR="00EE318B" w:rsidRPr="00EE318B">
        <w:rPr>
          <w:rFonts w:ascii="Times New Roman" w:hAnsi="Times New Roman" w:cs="Times New Roman"/>
          <w:i/>
          <w:color w:val="000000" w:themeColor="text1"/>
          <w:sz w:val="24"/>
          <w:szCs w:val="24"/>
        </w:rPr>
        <w:t>TD/TA</w:t>
      </w:r>
      <w:r w:rsidR="00C75BDF" w:rsidRPr="00394215">
        <w:rPr>
          <w:rFonts w:ascii="Times New Roman" w:hAnsi="Times New Roman" w:cs="Times New Roman"/>
          <w:color w:val="000000" w:themeColor="text1"/>
          <w:sz w:val="24"/>
          <w:szCs w:val="24"/>
        </w:rPr>
        <w:t xml:space="preserve"> in response to upgrades, perhaps </w:t>
      </w:r>
      <w:r w:rsidR="00C75BDF" w:rsidRPr="00394215">
        <w:rPr>
          <w:rFonts w:ascii="Times New Roman" w:hAnsi="Times New Roman" w:cs="Times New Roman"/>
          <w:color w:val="000000" w:themeColor="text1"/>
          <w:sz w:val="24"/>
          <w:szCs w:val="24"/>
        </w:rPr>
        <w:lastRenderedPageBreak/>
        <w:t xml:space="preserve">reflecting an increase in financing alternatives.  </w:t>
      </w:r>
      <w:r w:rsidR="00D25F93" w:rsidRPr="00394215">
        <w:rPr>
          <w:rFonts w:ascii="Times New Roman" w:hAnsi="Times New Roman" w:cs="Times New Roman"/>
          <w:color w:val="000000" w:themeColor="text1"/>
          <w:sz w:val="24"/>
          <w:szCs w:val="24"/>
        </w:rPr>
        <w:t>Results</w:t>
      </w:r>
      <w:r w:rsidR="00C4555D" w:rsidRPr="00394215">
        <w:rPr>
          <w:rFonts w:ascii="Times New Roman" w:hAnsi="Times New Roman" w:cs="Times New Roman"/>
          <w:color w:val="000000" w:themeColor="text1"/>
          <w:sz w:val="24"/>
          <w:szCs w:val="24"/>
        </w:rPr>
        <w:t xml:space="preserve"> </w:t>
      </w:r>
      <w:r w:rsidR="00F00EB8" w:rsidRPr="00394215">
        <w:rPr>
          <w:rFonts w:ascii="Times New Roman" w:hAnsi="Times New Roman" w:cs="Times New Roman"/>
          <w:color w:val="000000" w:themeColor="text1"/>
          <w:sz w:val="24"/>
          <w:szCs w:val="24"/>
        </w:rPr>
        <w:t xml:space="preserve">for </w:t>
      </w:r>
      <w:r w:rsidR="00D25F93" w:rsidRPr="00394215">
        <w:rPr>
          <w:rFonts w:ascii="Times New Roman" w:hAnsi="Times New Roman" w:cs="Times New Roman"/>
          <w:color w:val="000000" w:themeColor="text1"/>
          <w:sz w:val="24"/>
          <w:szCs w:val="24"/>
        </w:rPr>
        <w:t xml:space="preserve">long-term debt over total assets </w:t>
      </w:r>
      <w:r w:rsidR="00D25F93">
        <w:rPr>
          <w:rFonts w:ascii="Times New Roman" w:hAnsi="Times New Roman" w:cs="Times New Roman"/>
          <w:sz w:val="24"/>
          <w:szCs w:val="24"/>
        </w:rPr>
        <w:t>(</w:t>
      </w:r>
      <w:r w:rsidR="00EE318B" w:rsidRPr="00EE318B">
        <w:rPr>
          <w:rFonts w:ascii="Times New Roman" w:hAnsi="Times New Roman" w:cs="Times New Roman"/>
          <w:i/>
          <w:sz w:val="24"/>
          <w:szCs w:val="24"/>
        </w:rPr>
        <w:t>LTD/TA</w:t>
      </w:r>
      <w:r w:rsidR="00D25F93">
        <w:rPr>
          <w:rFonts w:ascii="Times New Roman" w:hAnsi="Times New Roman" w:cs="Times New Roman"/>
          <w:sz w:val="24"/>
          <w:szCs w:val="24"/>
        </w:rPr>
        <w:t xml:space="preserve">) reveal </w:t>
      </w:r>
      <w:r w:rsidR="00705960">
        <w:rPr>
          <w:rFonts w:ascii="Times New Roman" w:hAnsi="Times New Roman" w:cs="Times New Roman"/>
          <w:sz w:val="24"/>
          <w:szCs w:val="24"/>
        </w:rPr>
        <w:t>qualitatively the same</w:t>
      </w:r>
      <w:r w:rsidR="00D25F93">
        <w:rPr>
          <w:rFonts w:ascii="Times New Roman" w:hAnsi="Times New Roman" w:cs="Times New Roman"/>
          <w:sz w:val="24"/>
          <w:szCs w:val="24"/>
        </w:rPr>
        <w:t xml:space="preserve"> results.</w:t>
      </w:r>
      <w:r w:rsidR="00C4555D">
        <w:rPr>
          <w:rStyle w:val="FootnoteReference"/>
          <w:rFonts w:ascii="Times New Roman" w:hAnsi="Times New Roman" w:cs="Times New Roman"/>
          <w:sz w:val="24"/>
          <w:szCs w:val="24"/>
        </w:rPr>
        <w:footnoteReference w:id="9"/>
      </w:r>
    </w:p>
    <w:p w14:paraId="1F7886E3" w14:textId="205CA661" w:rsidR="00E65EF7" w:rsidRPr="001D25E4" w:rsidRDefault="00A9618C" w:rsidP="008531E5">
      <w:pPr>
        <w:spacing w:line="240" w:lineRule="auto"/>
        <w:ind w:firstLine="360"/>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B2. Non-CW </w:t>
      </w:r>
      <w:r w:rsidR="003763DB">
        <w:rPr>
          <w:rFonts w:ascii="Times New Roman" w:hAnsi="Times New Roman" w:cs="Times New Roman"/>
          <w:b/>
          <w:bCs/>
          <w:i/>
          <w:iCs/>
          <w:color w:val="000000" w:themeColor="text1"/>
          <w:sz w:val="24"/>
          <w:szCs w:val="24"/>
        </w:rPr>
        <w:t xml:space="preserve">Announcement </w:t>
      </w:r>
      <w:r w:rsidR="00E65EF7" w:rsidRPr="001D25E4">
        <w:rPr>
          <w:rFonts w:ascii="Times New Roman" w:hAnsi="Times New Roman" w:cs="Times New Roman"/>
          <w:b/>
          <w:bCs/>
          <w:i/>
          <w:iCs/>
          <w:color w:val="000000" w:themeColor="text1"/>
          <w:sz w:val="24"/>
          <w:szCs w:val="24"/>
        </w:rPr>
        <w:t>Downgrade</w:t>
      </w:r>
      <w:r w:rsidR="00DA0FB1">
        <w:rPr>
          <w:rFonts w:ascii="Times New Roman" w:hAnsi="Times New Roman" w:cs="Times New Roman"/>
          <w:b/>
          <w:bCs/>
          <w:i/>
          <w:iCs/>
          <w:color w:val="000000" w:themeColor="text1"/>
          <w:sz w:val="24"/>
          <w:szCs w:val="24"/>
        </w:rPr>
        <w:t>d Firms</w:t>
      </w:r>
      <w:r w:rsidR="00CB5010" w:rsidRPr="001D25E4">
        <w:rPr>
          <w:rFonts w:ascii="Times New Roman" w:hAnsi="Times New Roman" w:cs="Times New Roman"/>
          <w:b/>
          <w:bCs/>
          <w:i/>
          <w:iCs/>
          <w:color w:val="000000" w:themeColor="text1"/>
          <w:sz w:val="24"/>
          <w:szCs w:val="24"/>
        </w:rPr>
        <w:t>: Figure</w:t>
      </w:r>
      <w:r w:rsidR="00192760" w:rsidRPr="001D25E4">
        <w:rPr>
          <w:rFonts w:ascii="Times New Roman" w:hAnsi="Times New Roman" w:cs="Times New Roman"/>
          <w:b/>
          <w:bCs/>
          <w:i/>
          <w:iCs/>
          <w:color w:val="000000" w:themeColor="text1"/>
          <w:sz w:val="24"/>
          <w:szCs w:val="24"/>
        </w:rPr>
        <w:t>s</w:t>
      </w:r>
      <w:r w:rsidR="00CB5010" w:rsidRPr="001D25E4">
        <w:rPr>
          <w:rFonts w:ascii="Times New Roman" w:hAnsi="Times New Roman" w:cs="Times New Roman"/>
          <w:b/>
          <w:bCs/>
          <w:i/>
          <w:iCs/>
          <w:color w:val="000000" w:themeColor="text1"/>
          <w:sz w:val="24"/>
          <w:szCs w:val="24"/>
        </w:rPr>
        <w:t xml:space="preserve"> 2</w:t>
      </w:r>
      <w:r w:rsidR="00DA0FB1">
        <w:rPr>
          <w:rFonts w:ascii="Times New Roman" w:hAnsi="Times New Roman" w:cs="Times New Roman"/>
          <w:b/>
          <w:bCs/>
          <w:i/>
          <w:iCs/>
          <w:color w:val="000000" w:themeColor="text1"/>
          <w:sz w:val="24"/>
          <w:szCs w:val="24"/>
        </w:rPr>
        <w:t>/</w:t>
      </w:r>
      <w:r w:rsidR="00192760" w:rsidRPr="001D25E4">
        <w:rPr>
          <w:rFonts w:ascii="Times New Roman" w:hAnsi="Times New Roman" w:cs="Times New Roman"/>
          <w:b/>
          <w:bCs/>
          <w:i/>
          <w:iCs/>
          <w:color w:val="000000" w:themeColor="text1"/>
          <w:sz w:val="24"/>
          <w:szCs w:val="24"/>
        </w:rPr>
        <w:t xml:space="preserve">2a, </w:t>
      </w:r>
      <w:r w:rsidR="00CB5010" w:rsidRPr="001D25E4">
        <w:rPr>
          <w:rFonts w:ascii="Times New Roman" w:hAnsi="Times New Roman" w:cs="Times New Roman"/>
          <w:b/>
          <w:bCs/>
          <w:i/>
          <w:iCs/>
          <w:color w:val="000000" w:themeColor="text1"/>
          <w:sz w:val="24"/>
          <w:szCs w:val="24"/>
        </w:rPr>
        <w:t>Panel B of Table 3</w:t>
      </w:r>
    </w:p>
    <w:p w14:paraId="664271EA" w14:textId="181CA99F" w:rsidR="00E65EF7" w:rsidRDefault="00E65EF7" w:rsidP="006E543C">
      <w:pPr>
        <w:spacing w:after="0" w:line="240" w:lineRule="auto"/>
        <w:ind w:firstLine="360"/>
        <w:rPr>
          <w:rFonts w:ascii="Times New Roman" w:hAnsi="Times New Roman" w:cs="Times New Roman"/>
          <w:sz w:val="24"/>
          <w:szCs w:val="24"/>
        </w:rPr>
      </w:pPr>
    </w:p>
    <w:p w14:paraId="284807F4" w14:textId="2287EF01" w:rsidR="00A662DD" w:rsidRDefault="00C7765A" w:rsidP="002B2DAC">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Figure 2 shows that </w:t>
      </w:r>
      <w:r w:rsidR="00EE318B" w:rsidRPr="00EE318B">
        <w:rPr>
          <w:rFonts w:ascii="Times New Roman" w:hAnsi="Times New Roman" w:cs="Times New Roman"/>
          <w:i/>
          <w:sz w:val="24"/>
          <w:szCs w:val="24"/>
        </w:rPr>
        <w:t>TD/TA</w:t>
      </w:r>
      <w:r w:rsidR="0026560A">
        <w:rPr>
          <w:rFonts w:ascii="Times New Roman" w:hAnsi="Times New Roman" w:cs="Times New Roman"/>
          <w:sz w:val="24"/>
          <w:szCs w:val="24"/>
        </w:rPr>
        <w:t xml:space="preserve"> </w:t>
      </w:r>
      <w:r w:rsidR="00C31A16">
        <w:rPr>
          <w:rFonts w:ascii="Times New Roman" w:hAnsi="Times New Roman" w:cs="Times New Roman"/>
          <w:sz w:val="24"/>
          <w:szCs w:val="24"/>
        </w:rPr>
        <w:t xml:space="preserve">generally </w:t>
      </w:r>
      <w:r w:rsidR="0026560A">
        <w:rPr>
          <w:rFonts w:ascii="Times New Roman" w:hAnsi="Times New Roman" w:cs="Times New Roman"/>
          <w:sz w:val="24"/>
          <w:szCs w:val="24"/>
        </w:rPr>
        <w:t>increase</w:t>
      </w:r>
      <w:r w:rsidR="00C31A16">
        <w:rPr>
          <w:rFonts w:ascii="Times New Roman" w:hAnsi="Times New Roman" w:cs="Times New Roman"/>
          <w:sz w:val="24"/>
          <w:szCs w:val="24"/>
        </w:rPr>
        <w:t xml:space="preserve">s across all categories </w:t>
      </w:r>
      <w:r w:rsidR="00C803B0">
        <w:rPr>
          <w:rFonts w:ascii="Times New Roman" w:hAnsi="Times New Roman" w:cs="Times New Roman"/>
          <w:sz w:val="24"/>
          <w:szCs w:val="24"/>
        </w:rPr>
        <w:t xml:space="preserve">over </w:t>
      </w:r>
      <w:r w:rsidR="0092071B">
        <w:rPr>
          <w:rFonts w:ascii="Times New Roman" w:hAnsi="Times New Roman" w:cs="Times New Roman"/>
          <w:sz w:val="24"/>
          <w:szCs w:val="24"/>
        </w:rPr>
        <w:t xml:space="preserve">quarters </w:t>
      </w:r>
      <w:r w:rsidR="006F1BC7">
        <w:rPr>
          <w:rFonts w:ascii="Times New Roman" w:hAnsi="Times New Roman" w:cs="Times New Roman"/>
          <w:sz w:val="24"/>
          <w:szCs w:val="24"/>
        </w:rPr>
        <w:t xml:space="preserve">Q-8 through Q-1 </w:t>
      </w:r>
      <w:r w:rsidR="0026560A">
        <w:rPr>
          <w:rFonts w:ascii="Times New Roman" w:hAnsi="Times New Roman" w:cs="Times New Roman"/>
          <w:sz w:val="24"/>
          <w:szCs w:val="24"/>
        </w:rPr>
        <w:t xml:space="preserve">with the greatest increase </w:t>
      </w:r>
      <w:r w:rsidR="00C31A16">
        <w:rPr>
          <w:rFonts w:ascii="Times New Roman" w:hAnsi="Times New Roman" w:cs="Times New Roman"/>
          <w:sz w:val="24"/>
          <w:szCs w:val="24"/>
        </w:rPr>
        <w:t xml:space="preserve">in the most </w:t>
      </w:r>
      <w:r w:rsidR="00EC2667">
        <w:rPr>
          <w:rFonts w:ascii="Times New Roman" w:hAnsi="Times New Roman" w:cs="Times New Roman"/>
          <w:sz w:val="24"/>
          <w:szCs w:val="24"/>
        </w:rPr>
        <w:t xml:space="preserve">extreme </w:t>
      </w:r>
      <w:r w:rsidR="00C31A16">
        <w:rPr>
          <w:rFonts w:ascii="Times New Roman" w:hAnsi="Times New Roman" w:cs="Times New Roman"/>
          <w:sz w:val="24"/>
          <w:szCs w:val="24"/>
        </w:rPr>
        <w:t xml:space="preserve">SG firms </w:t>
      </w:r>
      <w:r w:rsidR="005D70D1">
        <w:rPr>
          <w:rFonts w:ascii="Times New Roman" w:hAnsi="Times New Roman" w:cs="Times New Roman"/>
          <w:sz w:val="24"/>
          <w:szCs w:val="24"/>
        </w:rPr>
        <w:t xml:space="preserve">prior to </w:t>
      </w:r>
      <w:r w:rsidR="00C31A16">
        <w:rPr>
          <w:rFonts w:ascii="Times New Roman" w:hAnsi="Times New Roman" w:cs="Times New Roman"/>
          <w:sz w:val="24"/>
          <w:szCs w:val="24"/>
        </w:rPr>
        <w:t>downgrade</w:t>
      </w:r>
      <w:r w:rsidR="007B47D3">
        <w:rPr>
          <w:rFonts w:ascii="Times New Roman" w:hAnsi="Times New Roman" w:cs="Times New Roman"/>
          <w:sz w:val="24"/>
          <w:szCs w:val="24"/>
        </w:rPr>
        <w:t>s</w:t>
      </w:r>
      <w:r w:rsidR="005D70D1">
        <w:rPr>
          <w:rFonts w:ascii="Times New Roman" w:hAnsi="Times New Roman" w:cs="Times New Roman"/>
          <w:sz w:val="24"/>
          <w:szCs w:val="24"/>
        </w:rPr>
        <w:t xml:space="preserve">.  </w:t>
      </w:r>
      <w:r w:rsidR="006E69CA">
        <w:rPr>
          <w:rFonts w:ascii="Times New Roman" w:hAnsi="Times New Roman" w:cs="Times New Roman"/>
          <w:sz w:val="24"/>
          <w:szCs w:val="24"/>
        </w:rPr>
        <w:t xml:space="preserve">This rise appears to stop at either Q-1 or Q0, depending on the rating.  </w:t>
      </w:r>
      <w:r w:rsidR="004531AD">
        <w:rPr>
          <w:rFonts w:ascii="Times New Roman" w:hAnsi="Times New Roman" w:cs="Times New Roman"/>
          <w:sz w:val="24"/>
          <w:szCs w:val="24"/>
        </w:rPr>
        <w:t xml:space="preserve">For IG firms, </w:t>
      </w:r>
      <w:r w:rsidR="00EE318B" w:rsidRPr="00EE318B">
        <w:rPr>
          <w:rFonts w:ascii="Times New Roman" w:hAnsi="Times New Roman" w:cs="Times New Roman"/>
          <w:i/>
          <w:sz w:val="24"/>
          <w:szCs w:val="24"/>
        </w:rPr>
        <w:t>TD/TA</w:t>
      </w:r>
      <w:r w:rsidR="006E69CA">
        <w:rPr>
          <w:rFonts w:ascii="Times New Roman" w:hAnsi="Times New Roman" w:cs="Times New Roman"/>
          <w:sz w:val="24"/>
          <w:szCs w:val="24"/>
        </w:rPr>
        <w:t xml:space="preserve"> stops rising at Q0 and remains </w:t>
      </w:r>
      <w:r w:rsidR="00EC2667">
        <w:rPr>
          <w:rFonts w:ascii="Times New Roman" w:hAnsi="Times New Roman" w:cs="Times New Roman"/>
          <w:sz w:val="24"/>
          <w:szCs w:val="24"/>
        </w:rPr>
        <w:t xml:space="preserve">relatively </w:t>
      </w:r>
      <w:r w:rsidR="006E69CA">
        <w:rPr>
          <w:rFonts w:ascii="Times New Roman" w:hAnsi="Times New Roman" w:cs="Times New Roman"/>
          <w:sz w:val="24"/>
          <w:szCs w:val="24"/>
        </w:rPr>
        <w:t xml:space="preserve">flat thereafter.  For SG firms, however, the rise stops at Q1 and then </w:t>
      </w:r>
      <w:r w:rsidR="00EC2667">
        <w:rPr>
          <w:rFonts w:ascii="Times New Roman" w:hAnsi="Times New Roman" w:cs="Times New Roman"/>
          <w:sz w:val="24"/>
          <w:szCs w:val="24"/>
        </w:rPr>
        <w:t xml:space="preserve">falls </w:t>
      </w:r>
      <w:r w:rsidR="006E69CA">
        <w:rPr>
          <w:rFonts w:ascii="Times New Roman" w:hAnsi="Times New Roman" w:cs="Times New Roman"/>
          <w:sz w:val="24"/>
          <w:szCs w:val="24"/>
        </w:rPr>
        <w:t xml:space="preserve">with the greatest declines </w:t>
      </w:r>
      <w:r w:rsidR="003A5D5D">
        <w:rPr>
          <w:rFonts w:ascii="Times New Roman" w:hAnsi="Times New Roman" w:cs="Times New Roman"/>
          <w:sz w:val="24"/>
          <w:szCs w:val="24"/>
        </w:rPr>
        <w:t xml:space="preserve">occurring </w:t>
      </w:r>
      <w:r w:rsidR="006E69CA">
        <w:rPr>
          <w:rFonts w:ascii="Times New Roman" w:hAnsi="Times New Roman" w:cs="Times New Roman"/>
          <w:sz w:val="24"/>
          <w:szCs w:val="24"/>
        </w:rPr>
        <w:t>for the lowest-rated SG firms.</w:t>
      </w:r>
      <w:r w:rsidR="003A5D5D">
        <w:rPr>
          <w:rFonts w:ascii="Times New Roman" w:hAnsi="Times New Roman" w:cs="Times New Roman"/>
          <w:sz w:val="24"/>
          <w:szCs w:val="24"/>
        </w:rPr>
        <w:t xml:space="preserve">  </w:t>
      </w:r>
      <w:r w:rsidR="004531AD">
        <w:rPr>
          <w:rFonts w:ascii="Times New Roman" w:hAnsi="Times New Roman" w:cs="Times New Roman"/>
          <w:sz w:val="24"/>
          <w:szCs w:val="24"/>
        </w:rPr>
        <w:t xml:space="preserve">Consistent with </w:t>
      </w:r>
      <w:r w:rsidR="00322310">
        <w:rPr>
          <w:rFonts w:ascii="Times New Roman" w:hAnsi="Times New Roman" w:cs="Times New Roman"/>
          <w:sz w:val="24"/>
          <w:szCs w:val="24"/>
        </w:rPr>
        <w:t xml:space="preserve">evidence shown in </w:t>
      </w:r>
      <w:r w:rsidR="003A5D5D">
        <w:rPr>
          <w:rFonts w:ascii="Times New Roman" w:hAnsi="Times New Roman" w:cs="Times New Roman"/>
          <w:sz w:val="24"/>
          <w:szCs w:val="24"/>
        </w:rPr>
        <w:t xml:space="preserve">Figure 1, SG firms display greater volatility than IG firms in </w:t>
      </w:r>
      <w:r w:rsidR="00EE318B" w:rsidRPr="00EE318B">
        <w:rPr>
          <w:rFonts w:ascii="Times New Roman" w:hAnsi="Times New Roman" w:cs="Times New Roman"/>
          <w:i/>
          <w:sz w:val="24"/>
          <w:szCs w:val="24"/>
        </w:rPr>
        <w:t>TD/TA</w:t>
      </w:r>
      <w:r w:rsidR="003A5D5D">
        <w:rPr>
          <w:rFonts w:ascii="Times New Roman" w:hAnsi="Times New Roman" w:cs="Times New Roman"/>
          <w:sz w:val="24"/>
          <w:szCs w:val="24"/>
        </w:rPr>
        <w:t xml:space="preserve"> both PRE and POST.  </w:t>
      </w:r>
      <w:r w:rsidR="004531AD">
        <w:rPr>
          <w:rFonts w:ascii="Times New Roman" w:hAnsi="Times New Roman" w:cs="Times New Roman"/>
          <w:sz w:val="24"/>
          <w:szCs w:val="24"/>
        </w:rPr>
        <w:t>When l</w:t>
      </w:r>
      <w:r w:rsidR="00BE4299">
        <w:rPr>
          <w:rFonts w:ascii="Times New Roman" w:hAnsi="Times New Roman" w:cs="Times New Roman"/>
          <w:sz w:val="24"/>
          <w:szCs w:val="24"/>
        </w:rPr>
        <w:t xml:space="preserve">ooking at the </w:t>
      </w:r>
      <w:r w:rsidR="00724907">
        <w:rPr>
          <w:rFonts w:ascii="Times New Roman" w:hAnsi="Times New Roman" w:cs="Times New Roman"/>
          <w:sz w:val="24"/>
          <w:szCs w:val="24"/>
        </w:rPr>
        <w:t xml:space="preserve">relationship between </w:t>
      </w:r>
      <w:r w:rsidR="00EE318B" w:rsidRPr="00EE318B">
        <w:rPr>
          <w:rFonts w:ascii="Times New Roman" w:hAnsi="Times New Roman" w:cs="Times New Roman"/>
          <w:i/>
          <w:sz w:val="24"/>
          <w:szCs w:val="24"/>
        </w:rPr>
        <w:t>TD/TA</w:t>
      </w:r>
      <w:r w:rsidR="00724907">
        <w:rPr>
          <w:rFonts w:ascii="Times New Roman" w:hAnsi="Times New Roman" w:cs="Times New Roman"/>
          <w:sz w:val="24"/>
          <w:szCs w:val="24"/>
        </w:rPr>
        <w:t xml:space="preserve"> and rating</w:t>
      </w:r>
      <w:r w:rsidR="00BE4299">
        <w:rPr>
          <w:rFonts w:ascii="Times New Roman" w:hAnsi="Times New Roman" w:cs="Times New Roman"/>
          <w:sz w:val="24"/>
          <w:szCs w:val="24"/>
        </w:rPr>
        <w:t xml:space="preserve">, </w:t>
      </w:r>
      <w:r w:rsidR="003F7C8E">
        <w:rPr>
          <w:rFonts w:ascii="Times New Roman" w:hAnsi="Times New Roman" w:cs="Times New Roman"/>
          <w:sz w:val="24"/>
          <w:szCs w:val="24"/>
        </w:rPr>
        <w:t>h</w:t>
      </w:r>
      <w:r w:rsidR="00BE4299">
        <w:rPr>
          <w:rFonts w:ascii="Times New Roman" w:hAnsi="Times New Roman" w:cs="Times New Roman"/>
          <w:sz w:val="24"/>
          <w:szCs w:val="24"/>
        </w:rPr>
        <w:t xml:space="preserve">igher-rated IG firms </w:t>
      </w:r>
      <w:r w:rsidR="003F7C8E">
        <w:rPr>
          <w:rFonts w:ascii="Times New Roman" w:hAnsi="Times New Roman" w:cs="Times New Roman"/>
          <w:sz w:val="24"/>
          <w:szCs w:val="24"/>
        </w:rPr>
        <w:t xml:space="preserve">again </w:t>
      </w:r>
      <w:r w:rsidR="00EC2667">
        <w:rPr>
          <w:rFonts w:ascii="Times New Roman" w:hAnsi="Times New Roman" w:cs="Times New Roman"/>
          <w:sz w:val="24"/>
          <w:szCs w:val="24"/>
        </w:rPr>
        <w:t xml:space="preserve">generally </w:t>
      </w:r>
      <w:r w:rsidR="00BE4299">
        <w:rPr>
          <w:rFonts w:ascii="Times New Roman" w:hAnsi="Times New Roman" w:cs="Times New Roman"/>
          <w:sz w:val="24"/>
          <w:szCs w:val="24"/>
        </w:rPr>
        <w:t xml:space="preserve">display lower </w:t>
      </w:r>
      <w:r w:rsidR="00EE318B" w:rsidRPr="00EE318B">
        <w:rPr>
          <w:rFonts w:ascii="Times New Roman" w:hAnsi="Times New Roman" w:cs="Times New Roman"/>
          <w:i/>
          <w:sz w:val="24"/>
          <w:szCs w:val="24"/>
        </w:rPr>
        <w:t>TD/TA</w:t>
      </w:r>
      <w:r w:rsidR="00BE4299">
        <w:rPr>
          <w:rFonts w:ascii="Times New Roman" w:hAnsi="Times New Roman" w:cs="Times New Roman"/>
          <w:sz w:val="24"/>
          <w:szCs w:val="24"/>
        </w:rPr>
        <w:t xml:space="preserve"> ratios than lower-rated IG firms both PRE and POST. </w:t>
      </w:r>
      <w:r w:rsidR="00F61DE1">
        <w:rPr>
          <w:rFonts w:ascii="Times New Roman" w:hAnsi="Times New Roman" w:cs="Times New Roman"/>
          <w:sz w:val="24"/>
          <w:szCs w:val="24"/>
        </w:rPr>
        <w:t xml:space="preserve"> </w:t>
      </w:r>
    </w:p>
    <w:p w14:paraId="046499DF" w14:textId="20716EB2" w:rsidR="001D09C0" w:rsidRPr="00E8602E" w:rsidRDefault="00F61DE1" w:rsidP="002B2DAC">
      <w:pPr>
        <w:spacing w:after="0" w:line="360" w:lineRule="auto"/>
        <w:ind w:firstLine="360"/>
        <w:rPr>
          <w:rFonts w:ascii="Times New Roman" w:hAnsi="Times New Roman" w:cs="Times New Roman"/>
          <w:color w:val="000000" w:themeColor="text1"/>
          <w:sz w:val="24"/>
          <w:szCs w:val="24"/>
        </w:rPr>
      </w:pPr>
      <w:r>
        <w:rPr>
          <w:rFonts w:ascii="Times New Roman" w:hAnsi="Times New Roman" w:cs="Times New Roman"/>
          <w:sz w:val="24"/>
          <w:szCs w:val="24"/>
        </w:rPr>
        <w:t xml:space="preserve">Contrary to the results found in Figure 1, </w:t>
      </w:r>
      <w:r w:rsidR="003F7C8E">
        <w:rPr>
          <w:rFonts w:ascii="Times New Roman" w:hAnsi="Times New Roman" w:cs="Times New Roman"/>
          <w:sz w:val="24"/>
          <w:szCs w:val="24"/>
        </w:rPr>
        <w:t>though</w:t>
      </w:r>
      <w:r>
        <w:rPr>
          <w:rFonts w:ascii="Times New Roman" w:hAnsi="Times New Roman" w:cs="Times New Roman"/>
          <w:sz w:val="24"/>
          <w:szCs w:val="24"/>
        </w:rPr>
        <w:t xml:space="preserve">, the inverse relationship between rating and </w:t>
      </w:r>
      <w:r w:rsidR="00EE318B" w:rsidRPr="00EE318B">
        <w:rPr>
          <w:rFonts w:ascii="Times New Roman" w:hAnsi="Times New Roman" w:cs="Times New Roman"/>
          <w:i/>
          <w:sz w:val="24"/>
          <w:szCs w:val="24"/>
        </w:rPr>
        <w:t>TD/TA</w:t>
      </w:r>
      <w:r>
        <w:rPr>
          <w:rFonts w:ascii="Times New Roman" w:hAnsi="Times New Roman" w:cs="Times New Roman"/>
          <w:sz w:val="24"/>
          <w:szCs w:val="24"/>
        </w:rPr>
        <w:t xml:space="preserve"> does not hold</w:t>
      </w:r>
      <w:r w:rsidR="001D09C0">
        <w:rPr>
          <w:rFonts w:ascii="Times New Roman" w:hAnsi="Times New Roman" w:cs="Times New Roman"/>
          <w:sz w:val="24"/>
          <w:szCs w:val="24"/>
        </w:rPr>
        <w:t xml:space="preserve"> for SG firms</w:t>
      </w:r>
      <w:r w:rsidR="00192760">
        <w:rPr>
          <w:rFonts w:ascii="Times New Roman" w:hAnsi="Times New Roman" w:cs="Times New Roman"/>
          <w:sz w:val="24"/>
          <w:szCs w:val="24"/>
        </w:rPr>
        <w:t xml:space="preserve"> POST</w:t>
      </w:r>
      <w:r w:rsidR="001D09C0">
        <w:rPr>
          <w:rFonts w:ascii="Times New Roman" w:hAnsi="Times New Roman" w:cs="Times New Roman"/>
          <w:sz w:val="24"/>
          <w:szCs w:val="24"/>
        </w:rPr>
        <w:t xml:space="preserve">.  </w:t>
      </w:r>
      <w:r w:rsidR="00724907">
        <w:rPr>
          <w:rFonts w:ascii="Times New Roman" w:hAnsi="Times New Roman" w:cs="Times New Roman"/>
          <w:sz w:val="24"/>
          <w:szCs w:val="24"/>
        </w:rPr>
        <w:t xml:space="preserve">For </w:t>
      </w:r>
      <w:r w:rsidR="001D09C0">
        <w:rPr>
          <w:rFonts w:ascii="Times New Roman" w:hAnsi="Times New Roman" w:cs="Times New Roman"/>
          <w:sz w:val="24"/>
          <w:szCs w:val="24"/>
        </w:rPr>
        <w:t xml:space="preserve">the lower-rated </w:t>
      </w:r>
      <w:r w:rsidR="00724907">
        <w:rPr>
          <w:rFonts w:ascii="Times New Roman" w:hAnsi="Times New Roman" w:cs="Times New Roman"/>
          <w:sz w:val="24"/>
          <w:szCs w:val="24"/>
        </w:rPr>
        <w:t xml:space="preserve">SG firms, </w:t>
      </w:r>
      <w:r w:rsidR="001D09C0">
        <w:rPr>
          <w:rFonts w:ascii="Times New Roman" w:hAnsi="Times New Roman" w:cs="Times New Roman"/>
          <w:sz w:val="24"/>
          <w:szCs w:val="24"/>
        </w:rPr>
        <w:t xml:space="preserve">the </w:t>
      </w:r>
      <w:r w:rsidR="00724907">
        <w:rPr>
          <w:rFonts w:ascii="Times New Roman" w:hAnsi="Times New Roman" w:cs="Times New Roman"/>
          <w:sz w:val="24"/>
          <w:szCs w:val="24"/>
        </w:rPr>
        <w:t xml:space="preserve">downward </w:t>
      </w:r>
      <w:r w:rsidR="00724907" w:rsidRPr="00E8602E">
        <w:rPr>
          <w:rFonts w:ascii="Times New Roman" w:hAnsi="Times New Roman" w:cs="Times New Roman"/>
          <w:color w:val="000000" w:themeColor="text1"/>
          <w:sz w:val="24"/>
          <w:szCs w:val="24"/>
        </w:rPr>
        <w:t xml:space="preserve">correction in </w:t>
      </w:r>
      <w:r w:rsidR="00EE318B" w:rsidRPr="00EE318B">
        <w:rPr>
          <w:rFonts w:ascii="Times New Roman" w:hAnsi="Times New Roman" w:cs="Times New Roman"/>
          <w:i/>
          <w:color w:val="000000" w:themeColor="text1"/>
          <w:sz w:val="24"/>
          <w:szCs w:val="24"/>
        </w:rPr>
        <w:t>TD/TA</w:t>
      </w:r>
      <w:r w:rsidR="00724907" w:rsidRPr="00E8602E">
        <w:rPr>
          <w:rFonts w:ascii="Times New Roman" w:hAnsi="Times New Roman" w:cs="Times New Roman"/>
          <w:color w:val="000000" w:themeColor="text1"/>
          <w:sz w:val="24"/>
          <w:szCs w:val="24"/>
        </w:rPr>
        <w:t xml:space="preserve"> </w:t>
      </w:r>
      <w:r w:rsidR="001D09C0" w:rsidRPr="00E8602E">
        <w:rPr>
          <w:rFonts w:ascii="Times New Roman" w:hAnsi="Times New Roman" w:cs="Times New Roman"/>
          <w:color w:val="000000" w:themeColor="text1"/>
          <w:sz w:val="24"/>
          <w:szCs w:val="24"/>
        </w:rPr>
        <w:t xml:space="preserve">is so dramatic that it begins before the </w:t>
      </w:r>
      <w:r w:rsidR="00744B15" w:rsidRPr="00E8602E">
        <w:rPr>
          <w:rFonts w:ascii="Times New Roman" w:hAnsi="Times New Roman" w:cs="Times New Roman"/>
          <w:color w:val="000000" w:themeColor="text1"/>
          <w:sz w:val="24"/>
          <w:szCs w:val="24"/>
        </w:rPr>
        <w:t>downgrade</w:t>
      </w:r>
      <w:r w:rsidR="001D09C0" w:rsidRPr="00E8602E">
        <w:rPr>
          <w:rFonts w:ascii="Times New Roman" w:hAnsi="Times New Roman" w:cs="Times New Roman"/>
          <w:color w:val="000000" w:themeColor="text1"/>
          <w:sz w:val="24"/>
          <w:szCs w:val="24"/>
        </w:rPr>
        <w:t xml:space="preserve"> and </w:t>
      </w:r>
      <w:r w:rsidR="00744B15" w:rsidRPr="00E8602E">
        <w:rPr>
          <w:rFonts w:ascii="Times New Roman" w:hAnsi="Times New Roman" w:cs="Times New Roman"/>
          <w:color w:val="000000" w:themeColor="text1"/>
          <w:sz w:val="24"/>
          <w:szCs w:val="24"/>
        </w:rPr>
        <w:t xml:space="preserve">continues POST </w:t>
      </w:r>
      <w:r w:rsidR="00696064" w:rsidRPr="00E8602E">
        <w:rPr>
          <w:rFonts w:ascii="Times New Roman" w:hAnsi="Times New Roman" w:cs="Times New Roman"/>
          <w:color w:val="000000" w:themeColor="text1"/>
          <w:sz w:val="24"/>
          <w:szCs w:val="24"/>
        </w:rPr>
        <w:t xml:space="preserve">to levels lower than </w:t>
      </w:r>
      <w:r w:rsidR="001D09C0" w:rsidRPr="00E8602E">
        <w:rPr>
          <w:rFonts w:ascii="Times New Roman" w:hAnsi="Times New Roman" w:cs="Times New Roman"/>
          <w:color w:val="000000" w:themeColor="text1"/>
          <w:sz w:val="24"/>
          <w:szCs w:val="24"/>
        </w:rPr>
        <w:t xml:space="preserve">higher-rated SG </w:t>
      </w:r>
      <w:r w:rsidR="00A662DD" w:rsidRPr="00E8602E">
        <w:rPr>
          <w:rFonts w:ascii="Times New Roman" w:hAnsi="Times New Roman" w:cs="Times New Roman"/>
          <w:color w:val="000000" w:themeColor="text1"/>
          <w:sz w:val="24"/>
          <w:szCs w:val="24"/>
        </w:rPr>
        <w:t xml:space="preserve">and </w:t>
      </w:r>
      <w:r w:rsidR="00584AF6" w:rsidRPr="00E8602E">
        <w:rPr>
          <w:rFonts w:ascii="Times New Roman" w:hAnsi="Times New Roman" w:cs="Times New Roman"/>
          <w:color w:val="000000" w:themeColor="text1"/>
          <w:sz w:val="24"/>
          <w:szCs w:val="24"/>
        </w:rPr>
        <w:t xml:space="preserve">lower-rated </w:t>
      </w:r>
      <w:r w:rsidR="00A662DD" w:rsidRPr="00E8602E">
        <w:rPr>
          <w:rFonts w:ascii="Times New Roman" w:hAnsi="Times New Roman" w:cs="Times New Roman"/>
          <w:color w:val="000000" w:themeColor="text1"/>
          <w:sz w:val="24"/>
          <w:szCs w:val="24"/>
        </w:rPr>
        <w:t>IG firms</w:t>
      </w:r>
      <w:r w:rsidR="001D09C0" w:rsidRPr="00E8602E">
        <w:rPr>
          <w:rFonts w:ascii="Times New Roman" w:hAnsi="Times New Roman" w:cs="Times New Roman"/>
          <w:color w:val="000000" w:themeColor="text1"/>
          <w:sz w:val="24"/>
          <w:szCs w:val="24"/>
        </w:rPr>
        <w:t>.  The anticipatory nature of the downward correction</w:t>
      </w:r>
      <w:r w:rsidR="00696064" w:rsidRPr="00E8602E">
        <w:rPr>
          <w:rFonts w:ascii="Times New Roman" w:hAnsi="Times New Roman" w:cs="Times New Roman"/>
          <w:color w:val="000000" w:themeColor="text1"/>
          <w:sz w:val="24"/>
          <w:szCs w:val="24"/>
        </w:rPr>
        <w:t xml:space="preserve"> of these firms </w:t>
      </w:r>
      <w:r w:rsidR="001D09C0" w:rsidRPr="00E8602E">
        <w:rPr>
          <w:rFonts w:ascii="Times New Roman" w:hAnsi="Times New Roman" w:cs="Times New Roman"/>
          <w:color w:val="000000" w:themeColor="text1"/>
          <w:sz w:val="24"/>
          <w:szCs w:val="24"/>
        </w:rPr>
        <w:t xml:space="preserve">is seen even more clearly when looking at </w:t>
      </w:r>
      <w:r w:rsidR="00EE318B" w:rsidRPr="00EE318B">
        <w:rPr>
          <w:rFonts w:ascii="Times New Roman" w:hAnsi="Times New Roman" w:cs="Times New Roman"/>
          <w:i/>
          <w:color w:val="000000" w:themeColor="text1"/>
          <w:sz w:val="24"/>
          <w:szCs w:val="24"/>
        </w:rPr>
        <w:t>LTD/TA</w:t>
      </w:r>
      <w:r w:rsidR="001D09C0" w:rsidRPr="00E8602E">
        <w:rPr>
          <w:rFonts w:ascii="Times New Roman" w:hAnsi="Times New Roman" w:cs="Times New Roman"/>
          <w:color w:val="000000" w:themeColor="text1"/>
          <w:sz w:val="24"/>
          <w:szCs w:val="24"/>
        </w:rPr>
        <w:t xml:space="preserve"> levels in Figure 2a.  </w:t>
      </w:r>
      <w:r w:rsidR="007101B9" w:rsidRPr="00E8602E">
        <w:rPr>
          <w:rFonts w:ascii="Times New Roman" w:hAnsi="Times New Roman" w:cs="Times New Roman"/>
          <w:color w:val="000000" w:themeColor="text1"/>
          <w:sz w:val="24"/>
          <w:szCs w:val="24"/>
        </w:rPr>
        <w:t>C</w:t>
      </w:r>
      <w:r w:rsidR="001D09C0" w:rsidRPr="00E8602E">
        <w:rPr>
          <w:rFonts w:ascii="Times New Roman" w:hAnsi="Times New Roman" w:cs="Times New Roman"/>
          <w:color w:val="000000" w:themeColor="text1"/>
          <w:sz w:val="24"/>
          <w:szCs w:val="24"/>
        </w:rPr>
        <w:t xml:space="preserve">orrections </w:t>
      </w:r>
      <w:r w:rsidR="007101B9" w:rsidRPr="00E8602E">
        <w:rPr>
          <w:rFonts w:ascii="Times New Roman" w:hAnsi="Times New Roman" w:cs="Times New Roman"/>
          <w:color w:val="000000" w:themeColor="text1"/>
          <w:sz w:val="24"/>
          <w:szCs w:val="24"/>
        </w:rPr>
        <w:t xml:space="preserve">here </w:t>
      </w:r>
      <w:r w:rsidR="001D09C0" w:rsidRPr="00E8602E">
        <w:rPr>
          <w:rFonts w:ascii="Times New Roman" w:hAnsi="Times New Roman" w:cs="Times New Roman"/>
          <w:color w:val="000000" w:themeColor="text1"/>
          <w:sz w:val="24"/>
          <w:szCs w:val="24"/>
        </w:rPr>
        <w:t>begin three to four quarters before the rating change</w:t>
      </w:r>
      <w:r w:rsidR="00A662DD" w:rsidRPr="00E8602E">
        <w:rPr>
          <w:rFonts w:ascii="Times New Roman" w:hAnsi="Times New Roman" w:cs="Times New Roman"/>
          <w:color w:val="000000" w:themeColor="text1"/>
          <w:sz w:val="24"/>
          <w:szCs w:val="24"/>
        </w:rPr>
        <w:t>s</w:t>
      </w:r>
      <w:r w:rsidR="00BA048A" w:rsidRPr="00E8602E">
        <w:rPr>
          <w:rFonts w:ascii="Times New Roman" w:hAnsi="Times New Roman" w:cs="Times New Roman"/>
          <w:color w:val="000000" w:themeColor="text1"/>
          <w:sz w:val="24"/>
          <w:szCs w:val="24"/>
        </w:rPr>
        <w:t>, consistent with the idea that these firms seek to avoid i</w:t>
      </w:r>
      <w:r w:rsidR="00BE3E4B" w:rsidRPr="00E8602E">
        <w:rPr>
          <w:rFonts w:ascii="Times New Roman" w:hAnsi="Times New Roman" w:cs="Times New Roman"/>
          <w:color w:val="000000" w:themeColor="text1"/>
          <w:sz w:val="24"/>
          <w:szCs w:val="24"/>
        </w:rPr>
        <w:t xml:space="preserve">ncreases in debt costs typically associated with </w:t>
      </w:r>
      <w:r w:rsidR="00BA048A" w:rsidRPr="00E8602E">
        <w:rPr>
          <w:rFonts w:ascii="Times New Roman" w:hAnsi="Times New Roman" w:cs="Times New Roman"/>
          <w:color w:val="000000" w:themeColor="text1"/>
          <w:sz w:val="24"/>
          <w:szCs w:val="24"/>
        </w:rPr>
        <w:t>downgrades.</w:t>
      </w:r>
      <w:r w:rsidR="008346AD">
        <w:rPr>
          <w:rStyle w:val="FootnoteReference"/>
          <w:rFonts w:ascii="Times New Roman" w:hAnsi="Times New Roman" w:cs="Times New Roman"/>
          <w:color w:val="000000" w:themeColor="text1"/>
          <w:sz w:val="24"/>
          <w:szCs w:val="24"/>
        </w:rPr>
        <w:footnoteReference w:id="10"/>
      </w:r>
      <w:r w:rsidR="00584AF6" w:rsidRPr="00E8602E">
        <w:rPr>
          <w:rFonts w:ascii="Times New Roman" w:hAnsi="Times New Roman" w:cs="Times New Roman"/>
          <w:color w:val="000000" w:themeColor="text1"/>
          <w:sz w:val="24"/>
          <w:szCs w:val="24"/>
        </w:rPr>
        <w:t xml:space="preserve">  Obviously, these firms are not reducing debt in response to warnings from S&amp;P as these firms have not prior CW announcements.</w:t>
      </w:r>
      <w:r w:rsidR="007355A6">
        <w:rPr>
          <w:rFonts w:ascii="Times New Roman" w:hAnsi="Times New Roman" w:cs="Times New Roman"/>
          <w:color w:val="000000" w:themeColor="text1"/>
          <w:sz w:val="24"/>
          <w:szCs w:val="24"/>
        </w:rPr>
        <w:t xml:space="preserve">  After the downgrade, however, </w:t>
      </w:r>
      <w:r w:rsidR="00653CAB">
        <w:rPr>
          <w:rFonts w:ascii="Times New Roman" w:hAnsi="Times New Roman" w:cs="Times New Roman"/>
          <w:color w:val="000000" w:themeColor="text1"/>
          <w:sz w:val="24"/>
          <w:szCs w:val="24"/>
        </w:rPr>
        <w:t>both</w:t>
      </w:r>
      <w:r w:rsidR="007355A6">
        <w:rPr>
          <w:rFonts w:ascii="Times New Roman" w:hAnsi="Times New Roman" w:cs="Times New Roman"/>
          <w:color w:val="000000" w:themeColor="text1"/>
          <w:sz w:val="24"/>
          <w:szCs w:val="24"/>
        </w:rPr>
        <w:t xml:space="preserve"> </w:t>
      </w:r>
      <w:r w:rsidR="00EE318B" w:rsidRPr="00EE318B">
        <w:rPr>
          <w:rFonts w:ascii="Times New Roman" w:hAnsi="Times New Roman" w:cs="Times New Roman"/>
          <w:i/>
          <w:color w:val="000000" w:themeColor="text1"/>
          <w:sz w:val="24"/>
          <w:szCs w:val="24"/>
        </w:rPr>
        <w:t>TD/TA</w:t>
      </w:r>
      <w:r w:rsidR="007355A6">
        <w:rPr>
          <w:rFonts w:ascii="Times New Roman" w:hAnsi="Times New Roman" w:cs="Times New Roman"/>
          <w:color w:val="000000" w:themeColor="text1"/>
          <w:sz w:val="24"/>
          <w:szCs w:val="24"/>
        </w:rPr>
        <w:t xml:space="preserve"> and </w:t>
      </w:r>
      <w:r w:rsidR="00EE318B" w:rsidRPr="00EE318B">
        <w:rPr>
          <w:rFonts w:ascii="Times New Roman" w:hAnsi="Times New Roman" w:cs="Times New Roman"/>
          <w:i/>
          <w:color w:val="000000" w:themeColor="text1"/>
          <w:sz w:val="24"/>
          <w:szCs w:val="24"/>
        </w:rPr>
        <w:t>LTD/TA</w:t>
      </w:r>
      <w:r w:rsidR="007355A6">
        <w:rPr>
          <w:rFonts w:ascii="Times New Roman" w:hAnsi="Times New Roman" w:cs="Times New Roman"/>
          <w:color w:val="000000" w:themeColor="text1"/>
          <w:sz w:val="24"/>
          <w:szCs w:val="24"/>
        </w:rPr>
        <w:t xml:space="preserve"> ratios recover.  </w:t>
      </w:r>
    </w:p>
    <w:p w14:paraId="322083CF" w14:textId="3C8AEBED" w:rsidR="004A4805" w:rsidRDefault="00A165BD" w:rsidP="002B2DAC">
      <w:pPr>
        <w:spacing w:after="0" w:line="360" w:lineRule="auto"/>
        <w:ind w:firstLine="360"/>
        <w:rPr>
          <w:rFonts w:ascii="Times New Roman" w:hAnsi="Times New Roman" w:cs="Times New Roman"/>
          <w:sz w:val="24"/>
          <w:szCs w:val="24"/>
        </w:rPr>
      </w:pPr>
      <w:r w:rsidRPr="00084F5D">
        <w:rPr>
          <w:rFonts w:ascii="Times New Roman" w:hAnsi="Times New Roman" w:cs="Times New Roman"/>
          <w:color w:val="000000" w:themeColor="text1"/>
          <w:sz w:val="24"/>
          <w:szCs w:val="24"/>
        </w:rPr>
        <w:t xml:space="preserve">Panel B of </w:t>
      </w:r>
      <w:r w:rsidR="00047A76" w:rsidRPr="00084F5D">
        <w:rPr>
          <w:rFonts w:ascii="Times New Roman" w:hAnsi="Times New Roman" w:cs="Times New Roman"/>
          <w:color w:val="000000" w:themeColor="text1"/>
          <w:sz w:val="24"/>
          <w:szCs w:val="24"/>
        </w:rPr>
        <w:t xml:space="preserve">Table 3 reveals that PRE </w:t>
      </w:r>
      <w:r w:rsidR="00EE318B" w:rsidRPr="00EE318B">
        <w:rPr>
          <w:rFonts w:ascii="Times New Roman" w:hAnsi="Times New Roman" w:cs="Times New Roman"/>
          <w:i/>
          <w:color w:val="000000" w:themeColor="text1"/>
          <w:sz w:val="24"/>
          <w:szCs w:val="24"/>
        </w:rPr>
        <w:t>TD/TA</w:t>
      </w:r>
      <w:r w:rsidR="00C803B0" w:rsidRPr="00084F5D">
        <w:rPr>
          <w:rFonts w:ascii="Times New Roman" w:hAnsi="Times New Roman" w:cs="Times New Roman"/>
          <w:color w:val="000000" w:themeColor="text1"/>
          <w:sz w:val="24"/>
          <w:szCs w:val="24"/>
        </w:rPr>
        <w:t xml:space="preserve"> </w:t>
      </w:r>
      <w:r w:rsidR="00047A76" w:rsidRPr="00084F5D">
        <w:rPr>
          <w:rFonts w:ascii="Times New Roman" w:hAnsi="Times New Roman" w:cs="Times New Roman"/>
          <w:color w:val="000000" w:themeColor="text1"/>
          <w:sz w:val="24"/>
          <w:szCs w:val="24"/>
        </w:rPr>
        <w:t xml:space="preserve">is significantly lower than POST </w:t>
      </w:r>
      <w:r w:rsidR="00EE318B" w:rsidRPr="00EE318B">
        <w:rPr>
          <w:rFonts w:ascii="Times New Roman" w:hAnsi="Times New Roman" w:cs="Times New Roman"/>
          <w:i/>
          <w:color w:val="000000" w:themeColor="text1"/>
          <w:sz w:val="24"/>
          <w:szCs w:val="24"/>
        </w:rPr>
        <w:t>TD/TA</w:t>
      </w:r>
      <w:r w:rsidR="00047A76" w:rsidRPr="00084F5D">
        <w:rPr>
          <w:rFonts w:ascii="Times New Roman" w:hAnsi="Times New Roman" w:cs="Times New Roman"/>
          <w:color w:val="000000" w:themeColor="text1"/>
          <w:sz w:val="24"/>
          <w:szCs w:val="24"/>
        </w:rPr>
        <w:t xml:space="preserve"> for most ratings between AAA and B categories.  </w:t>
      </w:r>
      <w:r w:rsidR="00B32455" w:rsidRPr="00084F5D">
        <w:rPr>
          <w:rFonts w:ascii="Times New Roman" w:hAnsi="Times New Roman" w:cs="Times New Roman"/>
          <w:color w:val="000000" w:themeColor="text1"/>
          <w:sz w:val="24"/>
          <w:szCs w:val="24"/>
        </w:rPr>
        <w:t>On the other hand, f</w:t>
      </w:r>
      <w:r w:rsidR="00047A76" w:rsidRPr="00084F5D">
        <w:rPr>
          <w:rFonts w:ascii="Times New Roman" w:hAnsi="Times New Roman" w:cs="Times New Roman"/>
          <w:color w:val="000000" w:themeColor="text1"/>
          <w:sz w:val="24"/>
          <w:szCs w:val="24"/>
        </w:rPr>
        <w:t>or the lowest rated categories of CCC+ through CC</w:t>
      </w:r>
      <w:r w:rsidR="00B32455" w:rsidRPr="00084F5D">
        <w:rPr>
          <w:rFonts w:ascii="Times New Roman" w:hAnsi="Times New Roman" w:cs="Times New Roman"/>
          <w:color w:val="000000" w:themeColor="text1"/>
          <w:sz w:val="24"/>
          <w:szCs w:val="24"/>
        </w:rPr>
        <w:t xml:space="preserve"> </w:t>
      </w:r>
      <w:r w:rsidR="006E543C" w:rsidRPr="00084F5D">
        <w:rPr>
          <w:rFonts w:ascii="Times New Roman" w:hAnsi="Times New Roman" w:cs="Times New Roman"/>
          <w:color w:val="000000" w:themeColor="text1"/>
          <w:sz w:val="24"/>
          <w:szCs w:val="24"/>
        </w:rPr>
        <w:t xml:space="preserve">the </w:t>
      </w:r>
      <w:r w:rsidR="00B32455" w:rsidRPr="00084F5D">
        <w:rPr>
          <w:rFonts w:ascii="Times New Roman" w:hAnsi="Times New Roman" w:cs="Times New Roman"/>
          <w:color w:val="000000" w:themeColor="text1"/>
          <w:sz w:val="24"/>
          <w:szCs w:val="24"/>
        </w:rPr>
        <w:t xml:space="preserve">results are </w:t>
      </w:r>
      <w:r w:rsidR="00A26396" w:rsidRPr="00084F5D">
        <w:rPr>
          <w:rFonts w:ascii="Times New Roman" w:hAnsi="Times New Roman" w:cs="Times New Roman"/>
          <w:color w:val="000000" w:themeColor="text1"/>
          <w:sz w:val="24"/>
          <w:szCs w:val="24"/>
        </w:rPr>
        <w:t>strongly</w:t>
      </w:r>
      <w:r w:rsidR="00B32455" w:rsidRPr="00084F5D">
        <w:rPr>
          <w:rFonts w:ascii="Times New Roman" w:hAnsi="Times New Roman" w:cs="Times New Roman"/>
          <w:color w:val="000000" w:themeColor="text1"/>
          <w:sz w:val="24"/>
          <w:szCs w:val="24"/>
        </w:rPr>
        <w:t xml:space="preserve"> opposite with the </w:t>
      </w:r>
      <w:r w:rsidR="006E543C" w:rsidRPr="00084F5D">
        <w:rPr>
          <w:rFonts w:ascii="Times New Roman" w:hAnsi="Times New Roman" w:cs="Times New Roman"/>
          <w:color w:val="000000" w:themeColor="text1"/>
          <w:sz w:val="24"/>
          <w:szCs w:val="24"/>
        </w:rPr>
        <w:t>difference between PRE and POST average</w:t>
      </w:r>
      <w:r w:rsidR="00B32455" w:rsidRPr="00084F5D">
        <w:rPr>
          <w:rFonts w:ascii="Times New Roman" w:hAnsi="Times New Roman" w:cs="Times New Roman"/>
          <w:color w:val="000000" w:themeColor="text1"/>
          <w:sz w:val="24"/>
          <w:szCs w:val="24"/>
        </w:rPr>
        <w:t xml:space="preserve"> </w:t>
      </w:r>
      <w:r w:rsidR="00EE318B" w:rsidRPr="00EE318B">
        <w:rPr>
          <w:rFonts w:ascii="Times New Roman" w:hAnsi="Times New Roman" w:cs="Times New Roman"/>
          <w:i/>
          <w:color w:val="000000" w:themeColor="text1"/>
          <w:sz w:val="24"/>
          <w:szCs w:val="24"/>
        </w:rPr>
        <w:t>TD/TA</w:t>
      </w:r>
      <w:r w:rsidR="006E543C" w:rsidRPr="00084F5D">
        <w:rPr>
          <w:rFonts w:ascii="Times New Roman" w:hAnsi="Times New Roman" w:cs="Times New Roman"/>
          <w:color w:val="000000" w:themeColor="text1"/>
          <w:sz w:val="24"/>
          <w:szCs w:val="24"/>
        </w:rPr>
        <w:t xml:space="preserve"> </w:t>
      </w:r>
      <w:r w:rsidR="00B32455" w:rsidRPr="00084F5D">
        <w:rPr>
          <w:rFonts w:ascii="Times New Roman" w:hAnsi="Times New Roman" w:cs="Times New Roman"/>
          <w:color w:val="000000" w:themeColor="text1"/>
          <w:sz w:val="24"/>
          <w:szCs w:val="24"/>
        </w:rPr>
        <w:t>of</w:t>
      </w:r>
      <w:r w:rsidR="006E543C" w:rsidRPr="00084F5D">
        <w:rPr>
          <w:rFonts w:ascii="Times New Roman" w:hAnsi="Times New Roman" w:cs="Times New Roman"/>
          <w:color w:val="000000" w:themeColor="text1"/>
          <w:sz w:val="24"/>
          <w:szCs w:val="24"/>
        </w:rPr>
        <w:t xml:space="preserve"> .0745, .1620, .1165, and .1883, respectively.</w:t>
      </w:r>
      <w:r w:rsidR="00B32455" w:rsidRPr="00084F5D">
        <w:rPr>
          <w:rFonts w:ascii="Times New Roman" w:hAnsi="Times New Roman" w:cs="Times New Roman"/>
          <w:color w:val="000000" w:themeColor="text1"/>
          <w:sz w:val="24"/>
          <w:szCs w:val="24"/>
        </w:rPr>
        <w:t xml:space="preserve">  </w:t>
      </w:r>
      <w:r w:rsidR="004A4805" w:rsidRPr="00084F5D">
        <w:rPr>
          <w:rFonts w:ascii="Times New Roman" w:hAnsi="Times New Roman" w:cs="Times New Roman"/>
          <w:color w:val="000000" w:themeColor="text1"/>
          <w:sz w:val="24"/>
          <w:szCs w:val="24"/>
        </w:rPr>
        <w:t xml:space="preserve">These differences are significant </w:t>
      </w:r>
      <w:r w:rsidR="004A4805" w:rsidRPr="00084F5D">
        <w:rPr>
          <w:rFonts w:ascii="Times New Roman" w:hAnsi="Times New Roman" w:cs="Times New Roman"/>
          <w:color w:val="000000" w:themeColor="text1"/>
          <w:sz w:val="24"/>
          <w:szCs w:val="24"/>
        </w:rPr>
        <w:lastRenderedPageBreak/>
        <w:t xml:space="preserve">at the .0001 level.  Results looking at differences between PRE and POST </w:t>
      </w:r>
      <w:r w:rsidR="00EE318B" w:rsidRPr="00EE318B">
        <w:rPr>
          <w:rFonts w:ascii="Times New Roman" w:hAnsi="Times New Roman" w:cs="Times New Roman"/>
          <w:i/>
          <w:color w:val="000000" w:themeColor="text1"/>
          <w:sz w:val="24"/>
          <w:szCs w:val="24"/>
        </w:rPr>
        <w:t>LTD/TA</w:t>
      </w:r>
      <w:r w:rsidR="004A4805" w:rsidRPr="00084F5D">
        <w:rPr>
          <w:rFonts w:ascii="Times New Roman" w:hAnsi="Times New Roman" w:cs="Times New Roman"/>
          <w:color w:val="000000" w:themeColor="text1"/>
          <w:sz w:val="24"/>
          <w:szCs w:val="24"/>
        </w:rPr>
        <w:t xml:space="preserve"> </w:t>
      </w:r>
      <w:r w:rsidR="00707257" w:rsidRPr="00084F5D">
        <w:rPr>
          <w:rFonts w:ascii="Times New Roman" w:hAnsi="Times New Roman" w:cs="Times New Roman"/>
          <w:color w:val="000000" w:themeColor="text1"/>
          <w:sz w:val="24"/>
          <w:szCs w:val="24"/>
        </w:rPr>
        <w:t xml:space="preserve">are comparable, </w:t>
      </w:r>
      <w:r w:rsidR="004A4805" w:rsidRPr="00084F5D">
        <w:rPr>
          <w:rFonts w:ascii="Times New Roman" w:hAnsi="Times New Roman" w:cs="Times New Roman"/>
          <w:color w:val="000000" w:themeColor="text1"/>
          <w:sz w:val="24"/>
          <w:szCs w:val="24"/>
        </w:rPr>
        <w:t xml:space="preserve">although the ratings categories associated with the most dramatic decline in </w:t>
      </w:r>
      <w:r w:rsidR="00EE318B" w:rsidRPr="00EE318B">
        <w:rPr>
          <w:rFonts w:ascii="Times New Roman" w:hAnsi="Times New Roman" w:cs="Times New Roman"/>
          <w:i/>
          <w:sz w:val="24"/>
          <w:szCs w:val="24"/>
        </w:rPr>
        <w:t>LTD/TA</w:t>
      </w:r>
      <w:r w:rsidR="004A4805">
        <w:rPr>
          <w:rFonts w:ascii="Times New Roman" w:hAnsi="Times New Roman" w:cs="Times New Roman"/>
          <w:sz w:val="24"/>
          <w:szCs w:val="24"/>
        </w:rPr>
        <w:t xml:space="preserve"> expands to the ratings levels of B through CC.  For these categories the differences</w:t>
      </w:r>
      <w:r w:rsidR="0046591A">
        <w:rPr>
          <w:rFonts w:ascii="Times New Roman" w:hAnsi="Times New Roman" w:cs="Times New Roman"/>
          <w:sz w:val="24"/>
          <w:szCs w:val="24"/>
        </w:rPr>
        <w:t>, all significant at the .0001 level,</w:t>
      </w:r>
      <w:r w:rsidR="004A4805">
        <w:rPr>
          <w:rFonts w:ascii="Times New Roman" w:hAnsi="Times New Roman" w:cs="Times New Roman"/>
          <w:sz w:val="24"/>
          <w:szCs w:val="24"/>
        </w:rPr>
        <w:t xml:space="preserve"> are .0366, .0791, .1452, .1782, .2195, and .2215, respectively.</w:t>
      </w:r>
    </w:p>
    <w:p w14:paraId="631B2CCA" w14:textId="77777777" w:rsidR="00926A73" w:rsidRDefault="00926A73" w:rsidP="006E543C">
      <w:pPr>
        <w:spacing w:after="0" w:line="240" w:lineRule="auto"/>
        <w:ind w:firstLine="360"/>
        <w:rPr>
          <w:rFonts w:ascii="Times New Roman" w:hAnsi="Times New Roman" w:cs="Times New Roman"/>
          <w:sz w:val="24"/>
          <w:szCs w:val="24"/>
        </w:rPr>
      </w:pPr>
    </w:p>
    <w:p w14:paraId="11D7F848" w14:textId="45C5D39B" w:rsidR="00BE331E" w:rsidRPr="00937773" w:rsidRDefault="003763DB" w:rsidP="003763DB">
      <w:pPr>
        <w:spacing w:after="0" w:line="240" w:lineRule="auto"/>
        <w:ind w:firstLine="360"/>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B3. CW Announcement </w:t>
      </w:r>
      <w:r w:rsidR="00777AEB">
        <w:rPr>
          <w:rFonts w:ascii="Times New Roman" w:hAnsi="Times New Roman" w:cs="Times New Roman"/>
          <w:b/>
          <w:bCs/>
          <w:i/>
          <w:iCs/>
          <w:color w:val="000000" w:themeColor="text1"/>
          <w:sz w:val="24"/>
          <w:szCs w:val="24"/>
        </w:rPr>
        <w:t xml:space="preserve">Upgraded Firms: </w:t>
      </w:r>
      <w:r w:rsidR="00BE331E" w:rsidRPr="00937773">
        <w:rPr>
          <w:rFonts w:ascii="Times New Roman" w:hAnsi="Times New Roman" w:cs="Times New Roman"/>
          <w:b/>
          <w:bCs/>
          <w:i/>
          <w:iCs/>
          <w:color w:val="000000" w:themeColor="text1"/>
          <w:sz w:val="24"/>
          <w:szCs w:val="24"/>
        </w:rPr>
        <w:t xml:space="preserve">Figure </w:t>
      </w:r>
      <w:r w:rsidR="00FB1E2A" w:rsidRPr="00937773">
        <w:rPr>
          <w:rFonts w:ascii="Times New Roman" w:hAnsi="Times New Roman" w:cs="Times New Roman"/>
          <w:b/>
          <w:bCs/>
          <w:i/>
          <w:iCs/>
          <w:color w:val="000000" w:themeColor="text1"/>
          <w:sz w:val="24"/>
          <w:szCs w:val="24"/>
        </w:rPr>
        <w:t>3</w:t>
      </w:r>
      <w:r w:rsidR="00BE331E" w:rsidRPr="00937773">
        <w:rPr>
          <w:rFonts w:ascii="Times New Roman" w:hAnsi="Times New Roman" w:cs="Times New Roman"/>
          <w:b/>
          <w:bCs/>
          <w:i/>
          <w:iCs/>
          <w:color w:val="000000" w:themeColor="text1"/>
          <w:sz w:val="24"/>
          <w:szCs w:val="24"/>
        </w:rPr>
        <w:t xml:space="preserve">, Panel A of Table </w:t>
      </w:r>
      <w:r w:rsidR="00FB1E2A" w:rsidRPr="00937773">
        <w:rPr>
          <w:rFonts w:ascii="Times New Roman" w:hAnsi="Times New Roman" w:cs="Times New Roman"/>
          <w:b/>
          <w:bCs/>
          <w:i/>
          <w:iCs/>
          <w:color w:val="000000" w:themeColor="text1"/>
          <w:sz w:val="24"/>
          <w:szCs w:val="24"/>
        </w:rPr>
        <w:t>4</w:t>
      </w:r>
    </w:p>
    <w:p w14:paraId="76EBD5E1" w14:textId="37F5B35B" w:rsidR="00BE331E" w:rsidRDefault="00BE331E" w:rsidP="00DB5E95">
      <w:pPr>
        <w:spacing w:after="0" w:line="240" w:lineRule="auto"/>
        <w:ind w:firstLine="360"/>
        <w:rPr>
          <w:rFonts w:ascii="Times New Roman" w:hAnsi="Times New Roman" w:cs="Times New Roman"/>
          <w:sz w:val="24"/>
          <w:szCs w:val="24"/>
        </w:rPr>
      </w:pPr>
    </w:p>
    <w:p w14:paraId="05481F9F" w14:textId="444FBCE4" w:rsidR="00087E6F" w:rsidRDefault="00B97182"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When focused on upgrades of Figure 3 </w:t>
      </w:r>
      <w:r w:rsidR="005C346B">
        <w:rPr>
          <w:rFonts w:ascii="Times New Roman" w:hAnsi="Times New Roman" w:cs="Times New Roman"/>
          <w:sz w:val="24"/>
          <w:szCs w:val="24"/>
        </w:rPr>
        <w:t xml:space="preserve">for firms with prior </w:t>
      </w:r>
      <w:r w:rsidR="0016631A">
        <w:rPr>
          <w:rFonts w:ascii="Times New Roman" w:hAnsi="Times New Roman" w:cs="Times New Roman"/>
          <w:sz w:val="24"/>
          <w:szCs w:val="24"/>
        </w:rPr>
        <w:t>CW announcements</w:t>
      </w:r>
      <w:r w:rsidR="005C346B">
        <w:rPr>
          <w:rFonts w:ascii="Times New Roman" w:hAnsi="Times New Roman" w:cs="Times New Roman"/>
          <w:sz w:val="24"/>
          <w:szCs w:val="24"/>
        </w:rPr>
        <w:t xml:space="preserve">, </w:t>
      </w:r>
      <w:r w:rsidR="00EE318B" w:rsidRPr="00EE318B">
        <w:rPr>
          <w:rFonts w:ascii="Times New Roman" w:hAnsi="Times New Roman" w:cs="Times New Roman"/>
          <w:i/>
          <w:sz w:val="24"/>
          <w:szCs w:val="24"/>
        </w:rPr>
        <w:t>TD/TA</w:t>
      </w:r>
      <w:r w:rsidR="003E644A">
        <w:rPr>
          <w:rFonts w:ascii="Times New Roman" w:hAnsi="Times New Roman" w:cs="Times New Roman"/>
          <w:sz w:val="24"/>
          <w:szCs w:val="24"/>
        </w:rPr>
        <w:t xml:space="preserve"> </w:t>
      </w:r>
      <w:r w:rsidR="00230AE7">
        <w:rPr>
          <w:rFonts w:ascii="Times New Roman" w:hAnsi="Times New Roman" w:cs="Times New Roman"/>
          <w:sz w:val="24"/>
          <w:szCs w:val="24"/>
        </w:rPr>
        <w:t xml:space="preserve">trends </w:t>
      </w:r>
      <w:r w:rsidR="00213CCF">
        <w:rPr>
          <w:rFonts w:ascii="Times New Roman" w:hAnsi="Times New Roman" w:cs="Times New Roman"/>
          <w:sz w:val="24"/>
          <w:szCs w:val="24"/>
        </w:rPr>
        <w:t xml:space="preserve">flat or </w:t>
      </w:r>
      <w:r w:rsidR="00230AE7">
        <w:rPr>
          <w:rFonts w:ascii="Times New Roman" w:hAnsi="Times New Roman" w:cs="Times New Roman"/>
          <w:sz w:val="24"/>
          <w:szCs w:val="24"/>
        </w:rPr>
        <w:t xml:space="preserve">slightly up </w:t>
      </w:r>
      <w:r w:rsidR="003E644A">
        <w:rPr>
          <w:rFonts w:ascii="Times New Roman" w:hAnsi="Times New Roman" w:cs="Times New Roman"/>
          <w:sz w:val="24"/>
          <w:szCs w:val="24"/>
        </w:rPr>
        <w:t xml:space="preserve">for the higher-rated IG firms </w:t>
      </w:r>
      <w:r w:rsidR="00213CCF">
        <w:rPr>
          <w:rFonts w:ascii="Times New Roman" w:hAnsi="Times New Roman" w:cs="Times New Roman"/>
          <w:sz w:val="24"/>
          <w:szCs w:val="24"/>
        </w:rPr>
        <w:t>and slightly down for lower-rated IG and higher rated SG firms from P</w:t>
      </w:r>
      <w:r w:rsidR="003E644A">
        <w:rPr>
          <w:rFonts w:ascii="Times New Roman" w:hAnsi="Times New Roman" w:cs="Times New Roman"/>
          <w:sz w:val="24"/>
          <w:szCs w:val="24"/>
        </w:rPr>
        <w:t xml:space="preserve">RE </w:t>
      </w:r>
      <w:r w:rsidR="00740FE8">
        <w:rPr>
          <w:rFonts w:ascii="Times New Roman" w:hAnsi="Times New Roman" w:cs="Times New Roman"/>
          <w:sz w:val="24"/>
          <w:szCs w:val="24"/>
        </w:rPr>
        <w:t>through</w:t>
      </w:r>
      <w:r w:rsidR="003E644A">
        <w:rPr>
          <w:rFonts w:ascii="Times New Roman" w:hAnsi="Times New Roman" w:cs="Times New Roman"/>
          <w:sz w:val="24"/>
          <w:szCs w:val="24"/>
        </w:rPr>
        <w:t xml:space="preserve"> POST.  For lower-rated SG firms, </w:t>
      </w:r>
      <w:r w:rsidR="00EE318B" w:rsidRPr="00EE318B">
        <w:rPr>
          <w:rFonts w:ascii="Times New Roman" w:hAnsi="Times New Roman" w:cs="Times New Roman"/>
          <w:i/>
          <w:sz w:val="24"/>
          <w:szCs w:val="24"/>
        </w:rPr>
        <w:t>TD/TA</w:t>
      </w:r>
      <w:r w:rsidR="00087E6F">
        <w:rPr>
          <w:rFonts w:ascii="Times New Roman" w:hAnsi="Times New Roman" w:cs="Times New Roman"/>
          <w:sz w:val="24"/>
          <w:szCs w:val="24"/>
        </w:rPr>
        <w:t xml:space="preserve"> trends up PRE and then gradually declines POST.  These lower-rated SG firms display the greatest volatility in </w:t>
      </w:r>
      <w:r w:rsidR="00EE318B" w:rsidRPr="00EE318B">
        <w:rPr>
          <w:rFonts w:ascii="Times New Roman" w:hAnsi="Times New Roman" w:cs="Times New Roman"/>
          <w:i/>
          <w:sz w:val="24"/>
          <w:szCs w:val="24"/>
        </w:rPr>
        <w:t>TD/TA</w:t>
      </w:r>
      <w:r w:rsidR="00087E6F">
        <w:rPr>
          <w:rFonts w:ascii="Times New Roman" w:hAnsi="Times New Roman" w:cs="Times New Roman"/>
          <w:sz w:val="24"/>
          <w:szCs w:val="24"/>
        </w:rPr>
        <w:t xml:space="preserve"> both PRE and POST.  Analysis of </w:t>
      </w:r>
      <w:r w:rsidR="00EE318B" w:rsidRPr="00EE318B">
        <w:rPr>
          <w:rFonts w:ascii="Times New Roman" w:hAnsi="Times New Roman" w:cs="Times New Roman"/>
          <w:i/>
          <w:sz w:val="24"/>
          <w:szCs w:val="24"/>
        </w:rPr>
        <w:t>TD/TA</w:t>
      </w:r>
      <w:r w:rsidR="00087E6F">
        <w:rPr>
          <w:rFonts w:ascii="Times New Roman" w:hAnsi="Times New Roman" w:cs="Times New Roman"/>
          <w:sz w:val="24"/>
          <w:szCs w:val="24"/>
        </w:rPr>
        <w:t xml:space="preserve"> by rating reveals a</w:t>
      </w:r>
      <w:r w:rsidR="00DF061D">
        <w:rPr>
          <w:rFonts w:ascii="Times New Roman" w:hAnsi="Times New Roman" w:cs="Times New Roman"/>
          <w:sz w:val="24"/>
          <w:szCs w:val="24"/>
        </w:rPr>
        <w:t xml:space="preserve">n inverse pattern between quality and </w:t>
      </w:r>
      <w:r w:rsidR="00EE318B" w:rsidRPr="00EE318B">
        <w:rPr>
          <w:rFonts w:ascii="Times New Roman" w:hAnsi="Times New Roman" w:cs="Times New Roman"/>
          <w:i/>
          <w:sz w:val="24"/>
          <w:szCs w:val="24"/>
        </w:rPr>
        <w:t>TD/TA</w:t>
      </w:r>
      <w:r w:rsidR="00DF061D">
        <w:rPr>
          <w:rFonts w:ascii="Times New Roman" w:hAnsi="Times New Roman" w:cs="Times New Roman"/>
          <w:sz w:val="24"/>
          <w:szCs w:val="24"/>
        </w:rPr>
        <w:t xml:space="preserve"> PRE and POST consistent with the pattern of Figure 1</w:t>
      </w:r>
      <w:r w:rsidR="00087E6F">
        <w:rPr>
          <w:rFonts w:ascii="Times New Roman" w:hAnsi="Times New Roman" w:cs="Times New Roman"/>
          <w:sz w:val="24"/>
          <w:szCs w:val="24"/>
        </w:rPr>
        <w:t>.</w:t>
      </w:r>
    </w:p>
    <w:p w14:paraId="3DFEEF55" w14:textId="7231F989" w:rsidR="00325DC1" w:rsidRDefault="00FE50BF"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The r</w:t>
      </w:r>
      <w:r w:rsidR="00FF6434">
        <w:rPr>
          <w:rFonts w:ascii="Times New Roman" w:hAnsi="Times New Roman" w:cs="Times New Roman"/>
          <w:sz w:val="24"/>
          <w:szCs w:val="24"/>
        </w:rPr>
        <w:t xml:space="preserve">esults in Panel </w:t>
      </w:r>
      <w:r w:rsidR="0057799E">
        <w:rPr>
          <w:rFonts w:ascii="Times New Roman" w:hAnsi="Times New Roman" w:cs="Times New Roman"/>
          <w:sz w:val="24"/>
          <w:szCs w:val="24"/>
        </w:rPr>
        <w:t>A of Table 4 looking at test</w:t>
      </w:r>
      <w:r w:rsidR="007E41CA">
        <w:rPr>
          <w:rFonts w:ascii="Times New Roman" w:hAnsi="Times New Roman" w:cs="Times New Roman"/>
          <w:sz w:val="24"/>
          <w:szCs w:val="24"/>
        </w:rPr>
        <w:t>s</w:t>
      </w:r>
      <w:r w:rsidR="0057799E">
        <w:rPr>
          <w:rFonts w:ascii="Times New Roman" w:hAnsi="Times New Roman" w:cs="Times New Roman"/>
          <w:sz w:val="24"/>
          <w:szCs w:val="24"/>
        </w:rPr>
        <w:t xml:space="preserve"> of significant differences in </w:t>
      </w:r>
      <w:r w:rsidR="00EE318B" w:rsidRPr="00EE318B">
        <w:rPr>
          <w:rFonts w:ascii="Times New Roman" w:hAnsi="Times New Roman" w:cs="Times New Roman"/>
          <w:i/>
          <w:sz w:val="24"/>
          <w:szCs w:val="24"/>
        </w:rPr>
        <w:t>TD/TA</w:t>
      </w:r>
      <w:r w:rsidR="0057799E">
        <w:rPr>
          <w:rFonts w:ascii="Times New Roman" w:hAnsi="Times New Roman" w:cs="Times New Roman"/>
          <w:sz w:val="24"/>
          <w:szCs w:val="24"/>
        </w:rPr>
        <w:t xml:space="preserve"> between PRE and POST</w:t>
      </w:r>
      <w:r>
        <w:rPr>
          <w:rFonts w:ascii="Times New Roman" w:hAnsi="Times New Roman" w:cs="Times New Roman"/>
          <w:sz w:val="24"/>
          <w:szCs w:val="24"/>
        </w:rPr>
        <w:t xml:space="preserve"> are supportive of what we see in Figure 3</w:t>
      </w:r>
      <w:r w:rsidR="0057799E">
        <w:rPr>
          <w:rFonts w:ascii="Times New Roman" w:hAnsi="Times New Roman" w:cs="Times New Roman"/>
          <w:sz w:val="24"/>
          <w:szCs w:val="24"/>
        </w:rPr>
        <w:t xml:space="preserve">.  For example, </w:t>
      </w:r>
      <w:r w:rsidR="00501BBD">
        <w:rPr>
          <w:rFonts w:ascii="Times New Roman" w:hAnsi="Times New Roman" w:cs="Times New Roman"/>
          <w:sz w:val="24"/>
          <w:szCs w:val="24"/>
        </w:rPr>
        <w:t xml:space="preserve">IG firms with pre-change ratings of AA+, AA, </w:t>
      </w:r>
      <w:r w:rsidR="00325DC1">
        <w:rPr>
          <w:rFonts w:ascii="Times New Roman" w:hAnsi="Times New Roman" w:cs="Times New Roman"/>
          <w:sz w:val="24"/>
          <w:szCs w:val="24"/>
        </w:rPr>
        <w:t xml:space="preserve">and </w:t>
      </w:r>
      <w:r w:rsidR="00501BBD">
        <w:rPr>
          <w:rFonts w:ascii="Times New Roman" w:hAnsi="Times New Roman" w:cs="Times New Roman"/>
          <w:sz w:val="24"/>
          <w:szCs w:val="24"/>
        </w:rPr>
        <w:t xml:space="preserve">A+, </w:t>
      </w:r>
      <w:r w:rsidR="00EE318B" w:rsidRPr="00EE318B">
        <w:rPr>
          <w:rFonts w:ascii="Times New Roman" w:hAnsi="Times New Roman" w:cs="Times New Roman"/>
          <w:i/>
          <w:sz w:val="24"/>
          <w:szCs w:val="24"/>
        </w:rPr>
        <w:t>TD/TA</w:t>
      </w:r>
      <w:r w:rsidR="00501BBD">
        <w:rPr>
          <w:rFonts w:ascii="Times New Roman" w:hAnsi="Times New Roman" w:cs="Times New Roman"/>
          <w:sz w:val="24"/>
          <w:szCs w:val="24"/>
        </w:rPr>
        <w:t xml:space="preserve"> </w:t>
      </w:r>
      <w:r w:rsidR="00DF6DE6">
        <w:rPr>
          <w:rFonts w:ascii="Times New Roman" w:hAnsi="Times New Roman" w:cs="Times New Roman"/>
          <w:sz w:val="24"/>
          <w:szCs w:val="24"/>
        </w:rPr>
        <w:t>are</w:t>
      </w:r>
      <w:r w:rsidR="00501BBD">
        <w:rPr>
          <w:rFonts w:ascii="Times New Roman" w:hAnsi="Times New Roman" w:cs="Times New Roman"/>
          <w:sz w:val="24"/>
          <w:szCs w:val="24"/>
        </w:rPr>
        <w:t xml:space="preserve"> significantly greater </w:t>
      </w:r>
      <w:r>
        <w:rPr>
          <w:rFonts w:ascii="Times New Roman" w:hAnsi="Times New Roman" w:cs="Times New Roman"/>
          <w:sz w:val="24"/>
          <w:szCs w:val="24"/>
        </w:rPr>
        <w:t>after upgrades.</w:t>
      </w:r>
      <w:r w:rsidR="00501BBD">
        <w:rPr>
          <w:rFonts w:ascii="Times New Roman" w:hAnsi="Times New Roman" w:cs="Times New Roman"/>
          <w:sz w:val="24"/>
          <w:szCs w:val="24"/>
        </w:rPr>
        <w:t xml:space="preserve">  </w:t>
      </w:r>
      <w:r w:rsidR="00DF6DE6">
        <w:rPr>
          <w:rFonts w:ascii="Times New Roman" w:hAnsi="Times New Roman" w:cs="Times New Roman"/>
          <w:sz w:val="24"/>
          <w:szCs w:val="24"/>
        </w:rPr>
        <w:t xml:space="preserve">On the other hand, </w:t>
      </w:r>
      <w:r w:rsidR="00325DC1">
        <w:rPr>
          <w:rFonts w:ascii="Times New Roman" w:hAnsi="Times New Roman" w:cs="Times New Roman"/>
          <w:sz w:val="24"/>
          <w:szCs w:val="24"/>
        </w:rPr>
        <w:t xml:space="preserve">lower-rated IG </w:t>
      </w:r>
      <w:r w:rsidR="00DF6DE6">
        <w:rPr>
          <w:rFonts w:ascii="Times New Roman" w:hAnsi="Times New Roman" w:cs="Times New Roman"/>
          <w:sz w:val="24"/>
          <w:szCs w:val="24"/>
        </w:rPr>
        <w:t xml:space="preserve">and higher-rated SG firms are lower after upgrades.  </w:t>
      </w:r>
      <w:r w:rsidR="002F70C7">
        <w:rPr>
          <w:rFonts w:ascii="Times New Roman" w:hAnsi="Times New Roman" w:cs="Times New Roman"/>
          <w:sz w:val="24"/>
          <w:szCs w:val="24"/>
        </w:rPr>
        <w:t>For lower-rated SG firms</w:t>
      </w:r>
      <w:r w:rsidR="00A36F7F">
        <w:rPr>
          <w:rFonts w:ascii="Times New Roman" w:hAnsi="Times New Roman" w:cs="Times New Roman"/>
          <w:sz w:val="24"/>
          <w:szCs w:val="24"/>
        </w:rPr>
        <w:t xml:space="preserve"> from CCC through D</w:t>
      </w:r>
      <w:r w:rsidR="002F70C7">
        <w:rPr>
          <w:rFonts w:ascii="Times New Roman" w:hAnsi="Times New Roman" w:cs="Times New Roman"/>
          <w:sz w:val="24"/>
          <w:szCs w:val="24"/>
        </w:rPr>
        <w:t xml:space="preserve">, there is no </w:t>
      </w:r>
      <w:r w:rsidR="00DF6DE6">
        <w:rPr>
          <w:rFonts w:ascii="Times New Roman" w:hAnsi="Times New Roman" w:cs="Times New Roman"/>
          <w:sz w:val="24"/>
          <w:szCs w:val="24"/>
        </w:rPr>
        <w:t xml:space="preserve">significant </w:t>
      </w:r>
      <w:r w:rsidR="002F70C7">
        <w:rPr>
          <w:rFonts w:ascii="Times New Roman" w:hAnsi="Times New Roman" w:cs="Times New Roman"/>
          <w:sz w:val="24"/>
          <w:szCs w:val="24"/>
        </w:rPr>
        <w:t xml:space="preserve">difference </w:t>
      </w:r>
      <w:r w:rsidR="0013600E">
        <w:rPr>
          <w:rFonts w:ascii="Times New Roman" w:hAnsi="Times New Roman" w:cs="Times New Roman"/>
          <w:sz w:val="24"/>
          <w:szCs w:val="24"/>
        </w:rPr>
        <w:t>after</w:t>
      </w:r>
      <w:r w:rsidR="00DF6DE6">
        <w:rPr>
          <w:rFonts w:ascii="Times New Roman" w:hAnsi="Times New Roman" w:cs="Times New Roman"/>
          <w:sz w:val="24"/>
          <w:szCs w:val="24"/>
        </w:rPr>
        <w:t xml:space="preserve"> the upgrade.  </w:t>
      </w:r>
      <w:r w:rsidR="002F70C7">
        <w:rPr>
          <w:rFonts w:ascii="Times New Roman" w:hAnsi="Times New Roman" w:cs="Times New Roman"/>
          <w:sz w:val="24"/>
          <w:szCs w:val="24"/>
        </w:rPr>
        <w:t xml:space="preserve">  </w:t>
      </w:r>
    </w:p>
    <w:p w14:paraId="75B78994" w14:textId="77777777" w:rsidR="00325DC1" w:rsidRDefault="00325DC1" w:rsidP="00501BBD">
      <w:pPr>
        <w:spacing w:after="0" w:line="240" w:lineRule="auto"/>
        <w:ind w:firstLine="360"/>
        <w:rPr>
          <w:rFonts w:ascii="Times New Roman" w:hAnsi="Times New Roman" w:cs="Times New Roman"/>
          <w:sz w:val="24"/>
          <w:szCs w:val="24"/>
        </w:rPr>
      </w:pPr>
    </w:p>
    <w:p w14:paraId="782F5452" w14:textId="7BE986F3" w:rsidR="00C706E4" w:rsidRPr="00074D6A" w:rsidRDefault="003763DB" w:rsidP="003763DB">
      <w:pPr>
        <w:spacing w:after="0" w:line="240" w:lineRule="auto"/>
        <w:ind w:firstLine="360"/>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B4. CW Announcement </w:t>
      </w:r>
      <w:r w:rsidR="00777AEB">
        <w:rPr>
          <w:rFonts w:ascii="Times New Roman" w:hAnsi="Times New Roman" w:cs="Times New Roman"/>
          <w:b/>
          <w:bCs/>
          <w:i/>
          <w:iCs/>
          <w:color w:val="000000" w:themeColor="text1"/>
          <w:sz w:val="24"/>
          <w:szCs w:val="24"/>
        </w:rPr>
        <w:t>Downgraded Firms</w:t>
      </w:r>
      <w:r w:rsidR="00C706E4" w:rsidRPr="00074D6A">
        <w:rPr>
          <w:rFonts w:ascii="Times New Roman" w:hAnsi="Times New Roman" w:cs="Times New Roman"/>
          <w:b/>
          <w:bCs/>
          <w:i/>
          <w:iCs/>
          <w:color w:val="000000" w:themeColor="text1"/>
          <w:sz w:val="24"/>
          <w:szCs w:val="24"/>
        </w:rPr>
        <w:t>: Figures 4</w:t>
      </w:r>
      <w:r w:rsidR="00777AEB">
        <w:rPr>
          <w:rFonts w:ascii="Times New Roman" w:hAnsi="Times New Roman" w:cs="Times New Roman"/>
          <w:b/>
          <w:bCs/>
          <w:i/>
          <w:iCs/>
          <w:color w:val="000000" w:themeColor="text1"/>
          <w:sz w:val="24"/>
          <w:szCs w:val="24"/>
        </w:rPr>
        <w:t>/</w:t>
      </w:r>
      <w:r w:rsidR="00C706E4" w:rsidRPr="00074D6A">
        <w:rPr>
          <w:rFonts w:ascii="Times New Roman" w:hAnsi="Times New Roman" w:cs="Times New Roman"/>
          <w:b/>
          <w:bCs/>
          <w:i/>
          <w:iCs/>
          <w:color w:val="000000" w:themeColor="text1"/>
          <w:sz w:val="24"/>
          <w:szCs w:val="24"/>
        </w:rPr>
        <w:t>4a, Panel B of Table 4</w:t>
      </w:r>
    </w:p>
    <w:p w14:paraId="3E82170F" w14:textId="77777777" w:rsidR="00C706E4" w:rsidRDefault="00C706E4" w:rsidP="00DB5E95">
      <w:pPr>
        <w:spacing w:after="0" w:line="240" w:lineRule="auto"/>
        <w:ind w:firstLine="360"/>
        <w:rPr>
          <w:rFonts w:ascii="Times New Roman" w:hAnsi="Times New Roman" w:cs="Times New Roman"/>
          <w:sz w:val="24"/>
          <w:szCs w:val="24"/>
        </w:rPr>
      </w:pPr>
    </w:p>
    <w:p w14:paraId="36D44499" w14:textId="355045A8" w:rsidR="00176EF3" w:rsidRDefault="00435BE0"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Figure 4 focusing on downgrades of firms with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w:t>
      </w:r>
      <w:r w:rsidR="00EE318B" w:rsidRPr="00EE318B">
        <w:rPr>
          <w:rFonts w:ascii="Times New Roman" w:hAnsi="Times New Roman" w:cs="Times New Roman"/>
          <w:i/>
          <w:sz w:val="24"/>
          <w:szCs w:val="24"/>
        </w:rPr>
        <w:t>TD/TA</w:t>
      </w:r>
      <w:r>
        <w:rPr>
          <w:rFonts w:ascii="Times New Roman" w:hAnsi="Times New Roman" w:cs="Times New Roman"/>
          <w:sz w:val="24"/>
          <w:szCs w:val="24"/>
        </w:rPr>
        <w:t xml:space="preserve"> again generally increases across all categories over </w:t>
      </w:r>
      <w:r w:rsidR="000634B7">
        <w:rPr>
          <w:rFonts w:ascii="Times New Roman" w:hAnsi="Times New Roman" w:cs="Times New Roman"/>
          <w:sz w:val="24"/>
          <w:szCs w:val="24"/>
        </w:rPr>
        <w:t xml:space="preserve">quarters Q-8 through Q-1 </w:t>
      </w:r>
      <w:r>
        <w:rPr>
          <w:rFonts w:ascii="Times New Roman" w:hAnsi="Times New Roman" w:cs="Times New Roman"/>
          <w:sz w:val="24"/>
          <w:szCs w:val="24"/>
        </w:rPr>
        <w:t xml:space="preserve">with the greatest increase in the most SG firms before the downgrade.  </w:t>
      </w:r>
      <w:r w:rsidR="00BB27B2">
        <w:rPr>
          <w:rFonts w:ascii="Times New Roman" w:hAnsi="Times New Roman" w:cs="Times New Roman"/>
          <w:sz w:val="24"/>
          <w:szCs w:val="24"/>
        </w:rPr>
        <w:t>After the downgrade, though, IG firms again stabilize at higher levels while SG firms continue their move lowe</w:t>
      </w:r>
      <w:r w:rsidR="008F41D1">
        <w:rPr>
          <w:rFonts w:ascii="Times New Roman" w:hAnsi="Times New Roman" w:cs="Times New Roman"/>
          <w:sz w:val="24"/>
          <w:szCs w:val="24"/>
        </w:rPr>
        <w:t>r with the lower-rated SG firms experiencing the greatest decline</w:t>
      </w:r>
      <w:r w:rsidR="002E0FCB">
        <w:rPr>
          <w:rFonts w:ascii="Times New Roman" w:hAnsi="Times New Roman" w:cs="Times New Roman"/>
          <w:sz w:val="24"/>
          <w:szCs w:val="24"/>
        </w:rPr>
        <w:t>s</w:t>
      </w:r>
      <w:r w:rsidR="008F41D1">
        <w:rPr>
          <w:rFonts w:ascii="Times New Roman" w:hAnsi="Times New Roman" w:cs="Times New Roman"/>
          <w:sz w:val="24"/>
          <w:szCs w:val="24"/>
        </w:rPr>
        <w:t xml:space="preserve">.  </w:t>
      </w:r>
      <w:r w:rsidR="00EA017A">
        <w:rPr>
          <w:rFonts w:ascii="Times New Roman" w:hAnsi="Times New Roman" w:cs="Times New Roman"/>
          <w:sz w:val="24"/>
          <w:szCs w:val="24"/>
        </w:rPr>
        <w:t>V</w:t>
      </w:r>
      <w:r w:rsidR="008F41D1">
        <w:rPr>
          <w:rFonts w:ascii="Times New Roman" w:hAnsi="Times New Roman" w:cs="Times New Roman"/>
          <w:sz w:val="24"/>
          <w:szCs w:val="24"/>
        </w:rPr>
        <w:t xml:space="preserve">olatility </w:t>
      </w:r>
      <w:r w:rsidR="00EA017A">
        <w:rPr>
          <w:rFonts w:ascii="Times New Roman" w:hAnsi="Times New Roman" w:cs="Times New Roman"/>
          <w:sz w:val="24"/>
          <w:szCs w:val="24"/>
        </w:rPr>
        <w:t xml:space="preserve">patterns </w:t>
      </w:r>
      <w:r w:rsidR="008F41D1">
        <w:rPr>
          <w:rFonts w:ascii="Times New Roman" w:hAnsi="Times New Roman" w:cs="Times New Roman"/>
          <w:sz w:val="24"/>
          <w:szCs w:val="24"/>
        </w:rPr>
        <w:t xml:space="preserve">in </w:t>
      </w:r>
      <w:r w:rsidR="00EE318B" w:rsidRPr="00EE318B">
        <w:rPr>
          <w:rFonts w:ascii="Times New Roman" w:hAnsi="Times New Roman" w:cs="Times New Roman"/>
          <w:i/>
          <w:sz w:val="24"/>
          <w:szCs w:val="24"/>
        </w:rPr>
        <w:t>TD/TA</w:t>
      </w:r>
      <w:r w:rsidR="00EA017A">
        <w:rPr>
          <w:rFonts w:ascii="Times New Roman" w:hAnsi="Times New Roman" w:cs="Times New Roman"/>
          <w:sz w:val="24"/>
          <w:szCs w:val="24"/>
        </w:rPr>
        <w:t xml:space="preserve"> indicate that </w:t>
      </w:r>
      <w:r w:rsidR="008F41D1">
        <w:rPr>
          <w:rFonts w:ascii="Times New Roman" w:hAnsi="Times New Roman" w:cs="Times New Roman"/>
          <w:sz w:val="24"/>
          <w:szCs w:val="24"/>
        </w:rPr>
        <w:t>SG firms display more PRE and POST than IG firms</w:t>
      </w:r>
      <w:r w:rsidR="00A24D29">
        <w:rPr>
          <w:rFonts w:ascii="Times New Roman" w:hAnsi="Times New Roman" w:cs="Times New Roman"/>
          <w:sz w:val="24"/>
          <w:szCs w:val="24"/>
        </w:rPr>
        <w:t xml:space="preserve"> do</w:t>
      </w:r>
      <w:r w:rsidR="00CD4168">
        <w:rPr>
          <w:rFonts w:ascii="Times New Roman" w:hAnsi="Times New Roman" w:cs="Times New Roman"/>
          <w:sz w:val="24"/>
          <w:szCs w:val="24"/>
        </w:rPr>
        <w:t xml:space="preserve">.  Further, </w:t>
      </w:r>
      <w:r w:rsidR="00176EF3">
        <w:rPr>
          <w:rFonts w:ascii="Times New Roman" w:hAnsi="Times New Roman" w:cs="Times New Roman"/>
          <w:sz w:val="24"/>
          <w:szCs w:val="24"/>
        </w:rPr>
        <w:t>an</w:t>
      </w:r>
      <w:r w:rsidR="00CD4168">
        <w:rPr>
          <w:rFonts w:ascii="Times New Roman" w:hAnsi="Times New Roman" w:cs="Times New Roman"/>
          <w:sz w:val="24"/>
          <w:szCs w:val="24"/>
        </w:rPr>
        <w:t xml:space="preserve"> inverse pattern </w:t>
      </w:r>
      <w:r w:rsidR="00A24D29">
        <w:rPr>
          <w:rFonts w:ascii="Times New Roman" w:hAnsi="Times New Roman" w:cs="Times New Roman"/>
          <w:sz w:val="24"/>
          <w:szCs w:val="24"/>
        </w:rPr>
        <w:t xml:space="preserve">between </w:t>
      </w:r>
      <w:r w:rsidR="00EE318B" w:rsidRPr="00EE318B">
        <w:rPr>
          <w:rFonts w:ascii="Times New Roman" w:hAnsi="Times New Roman" w:cs="Times New Roman"/>
          <w:i/>
          <w:sz w:val="24"/>
          <w:szCs w:val="24"/>
        </w:rPr>
        <w:t>TD/TA</w:t>
      </w:r>
      <w:r w:rsidR="00A24D29">
        <w:rPr>
          <w:rFonts w:ascii="Times New Roman" w:hAnsi="Times New Roman" w:cs="Times New Roman"/>
          <w:sz w:val="24"/>
          <w:szCs w:val="24"/>
        </w:rPr>
        <w:t xml:space="preserve"> and rating </w:t>
      </w:r>
      <w:r w:rsidR="00CD4168">
        <w:rPr>
          <w:rFonts w:ascii="Times New Roman" w:hAnsi="Times New Roman" w:cs="Times New Roman"/>
          <w:sz w:val="24"/>
          <w:szCs w:val="24"/>
        </w:rPr>
        <w:t xml:space="preserve">is </w:t>
      </w:r>
      <w:r w:rsidR="00176EF3">
        <w:rPr>
          <w:rFonts w:ascii="Times New Roman" w:hAnsi="Times New Roman" w:cs="Times New Roman"/>
          <w:sz w:val="24"/>
          <w:szCs w:val="24"/>
        </w:rPr>
        <w:t xml:space="preserve">again found with </w:t>
      </w:r>
      <w:r w:rsidR="00CD4168">
        <w:rPr>
          <w:rFonts w:ascii="Times New Roman" w:hAnsi="Times New Roman" w:cs="Times New Roman"/>
          <w:sz w:val="24"/>
          <w:szCs w:val="24"/>
        </w:rPr>
        <w:t xml:space="preserve">higher-rated IG firms showing lower </w:t>
      </w:r>
      <w:r w:rsidR="00EE318B" w:rsidRPr="00EE318B">
        <w:rPr>
          <w:rFonts w:ascii="Times New Roman" w:hAnsi="Times New Roman" w:cs="Times New Roman"/>
          <w:i/>
          <w:sz w:val="24"/>
          <w:szCs w:val="24"/>
        </w:rPr>
        <w:t>TD/TA</w:t>
      </w:r>
      <w:r w:rsidR="00CD4168">
        <w:rPr>
          <w:rFonts w:ascii="Times New Roman" w:hAnsi="Times New Roman" w:cs="Times New Roman"/>
          <w:sz w:val="24"/>
          <w:szCs w:val="24"/>
        </w:rPr>
        <w:t xml:space="preserve"> levels both PRE and POST relative to lower-rated IG firms</w:t>
      </w:r>
      <w:r w:rsidR="00176EF3">
        <w:rPr>
          <w:rFonts w:ascii="Times New Roman" w:hAnsi="Times New Roman" w:cs="Times New Roman"/>
          <w:sz w:val="24"/>
          <w:szCs w:val="24"/>
        </w:rPr>
        <w:t xml:space="preserve">.  For SG firms, this </w:t>
      </w:r>
      <w:r w:rsidR="00F17E5B">
        <w:rPr>
          <w:rFonts w:ascii="Times New Roman" w:hAnsi="Times New Roman" w:cs="Times New Roman"/>
          <w:sz w:val="24"/>
          <w:szCs w:val="24"/>
        </w:rPr>
        <w:t xml:space="preserve">inverse </w:t>
      </w:r>
      <w:r w:rsidR="00176EF3">
        <w:rPr>
          <w:rFonts w:ascii="Times New Roman" w:hAnsi="Times New Roman" w:cs="Times New Roman"/>
          <w:sz w:val="24"/>
          <w:szCs w:val="24"/>
        </w:rPr>
        <w:t xml:space="preserve">pattern </w:t>
      </w:r>
      <w:r w:rsidR="00F17E5B">
        <w:rPr>
          <w:rFonts w:ascii="Times New Roman" w:hAnsi="Times New Roman" w:cs="Times New Roman"/>
          <w:sz w:val="24"/>
          <w:szCs w:val="24"/>
        </w:rPr>
        <w:t xml:space="preserve">holds before </w:t>
      </w:r>
      <w:r w:rsidR="00121E52">
        <w:rPr>
          <w:rFonts w:ascii="Times New Roman" w:hAnsi="Times New Roman" w:cs="Times New Roman"/>
          <w:sz w:val="24"/>
          <w:szCs w:val="24"/>
        </w:rPr>
        <w:t xml:space="preserve">downgrade </w:t>
      </w:r>
      <w:r w:rsidR="00F17E5B">
        <w:rPr>
          <w:rFonts w:ascii="Times New Roman" w:hAnsi="Times New Roman" w:cs="Times New Roman"/>
          <w:sz w:val="24"/>
          <w:szCs w:val="24"/>
        </w:rPr>
        <w:t xml:space="preserve">but not after, particularly for the </w:t>
      </w:r>
      <w:r w:rsidR="00275A9B">
        <w:rPr>
          <w:rFonts w:ascii="Times New Roman" w:hAnsi="Times New Roman" w:cs="Times New Roman"/>
          <w:sz w:val="24"/>
          <w:szCs w:val="24"/>
        </w:rPr>
        <w:t xml:space="preserve">lower-rated SG firms.  For </w:t>
      </w:r>
      <w:r w:rsidR="00F17E5B">
        <w:rPr>
          <w:rFonts w:ascii="Times New Roman" w:hAnsi="Times New Roman" w:cs="Times New Roman"/>
          <w:sz w:val="24"/>
          <w:szCs w:val="24"/>
        </w:rPr>
        <w:t xml:space="preserve">these firms, </w:t>
      </w:r>
      <w:r w:rsidR="00275A9B">
        <w:rPr>
          <w:rFonts w:ascii="Times New Roman" w:hAnsi="Times New Roman" w:cs="Times New Roman"/>
          <w:sz w:val="24"/>
          <w:szCs w:val="24"/>
        </w:rPr>
        <w:t xml:space="preserve">a steep correction downward in </w:t>
      </w:r>
      <w:r w:rsidR="00EE318B" w:rsidRPr="00EE318B">
        <w:rPr>
          <w:rFonts w:ascii="Times New Roman" w:hAnsi="Times New Roman" w:cs="Times New Roman"/>
          <w:i/>
          <w:sz w:val="24"/>
          <w:szCs w:val="24"/>
        </w:rPr>
        <w:t>TD/TA</w:t>
      </w:r>
      <w:r w:rsidR="00275A9B">
        <w:rPr>
          <w:rFonts w:ascii="Times New Roman" w:hAnsi="Times New Roman" w:cs="Times New Roman"/>
          <w:sz w:val="24"/>
          <w:szCs w:val="24"/>
        </w:rPr>
        <w:t xml:space="preserve"> is </w:t>
      </w:r>
      <w:r w:rsidR="00A24D29">
        <w:rPr>
          <w:rFonts w:ascii="Times New Roman" w:hAnsi="Times New Roman" w:cs="Times New Roman"/>
          <w:sz w:val="24"/>
          <w:szCs w:val="24"/>
        </w:rPr>
        <w:t>shown</w:t>
      </w:r>
      <w:r w:rsidR="00FD12A5">
        <w:rPr>
          <w:rFonts w:ascii="Times New Roman" w:hAnsi="Times New Roman" w:cs="Times New Roman"/>
          <w:sz w:val="24"/>
          <w:szCs w:val="24"/>
        </w:rPr>
        <w:t xml:space="preserve"> with confirmation </w:t>
      </w:r>
      <w:r w:rsidR="00A24D29">
        <w:rPr>
          <w:rFonts w:ascii="Times New Roman" w:hAnsi="Times New Roman" w:cs="Times New Roman"/>
          <w:sz w:val="24"/>
          <w:szCs w:val="24"/>
        </w:rPr>
        <w:t xml:space="preserve">found </w:t>
      </w:r>
      <w:r w:rsidR="00FD12A5">
        <w:rPr>
          <w:rFonts w:ascii="Times New Roman" w:hAnsi="Times New Roman" w:cs="Times New Roman"/>
          <w:sz w:val="24"/>
          <w:szCs w:val="24"/>
        </w:rPr>
        <w:t xml:space="preserve">in </w:t>
      </w:r>
      <w:r w:rsidR="00A24D29">
        <w:rPr>
          <w:rFonts w:ascii="Times New Roman" w:hAnsi="Times New Roman" w:cs="Times New Roman"/>
          <w:sz w:val="24"/>
          <w:szCs w:val="24"/>
        </w:rPr>
        <w:t xml:space="preserve">a similar movement of </w:t>
      </w:r>
      <w:r w:rsidR="00EE318B" w:rsidRPr="00EE318B">
        <w:rPr>
          <w:rFonts w:ascii="Times New Roman" w:hAnsi="Times New Roman" w:cs="Times New Roman"/>
          <w:i/>
          <w:sz w:val="24"/>
          <w:szCs w:val="24"/>
        </w:rPr>
        <w:t>LTD/TA</w:t>
      </w:r>
      <w:r w:rsidR="00A24D29">
        <w:rPr>
          <w:rFonts w:ascii="Times New Roman" w:hAnsi="Times New Roman" w:cs="Times New Roman"/>
          <w:sz w:val="24"/>
          <w:szCs w:val="24"/>
        </w:rPr>
        <w:t xml:space="preserve">, </w:t>
      </w:r>
      <w:r w:rsidR="00FD12A5">
        <w:rPr>
          <w:rFonts w:ascii="Times New Roman" w:hAnsi="Times New Roman" w:cs="Times New Roman"/>
          <w:sz w:val="24"/>
          <w:szCs w:val="24"/>
        </w:rPr>
        <w:t>reveal</w:t>
      </w:r>
      <w:r w:rsidR="00A24D29">
        <w:rPr>
          <w:rFonts w:ascii="Times New Roman" w:hAnsi="Times New Roman" w:cs="Times New Roman"/>
          <w:sz w:val="24"/>
          <w:szCs w:val="24"/>
        </w:rPr>
        <w:t>ing i</w:t>
      </w:r>
      <w:r w:rsidR="00FD12A5">
        <w:rPr>
          <w:rFonts w:ascii="Times New Roman" w:hAnsi="Times New Roman" w:cs="Times New Roman"/>
          <w:sz w:val="24"/>
          <w:szCs w:val="24"/>
        </w:rPr>
        <w:t>n Figure 4a</w:t>
      </w:r>
      <w:r w:rsidR="00E56458">
        <w:rPr>
          <w:rFonts w:ascii="Times New Roman" w:hAnsi="Times New Roman" w:cs="Times New Roman"/>
          <w:sz w:val="24"/>
          <w:szCs w:val="24"/>
        </w:rPr>
        <w:t xml:space="preserve"> that the downward correction begins four to two quarters before </w:t>
      </w:r>
      <w:r w:rsidR="00E56458">
        <w:rPr>
          <w:rFonts w:ascii="Times New Roman" w:hAnsi="Times New Roman" w:cs="Times New Roman"/>
          <w:sz w:val="24"/>
          <w:szCs w:val="24"/>
        </w:rPr>
        <w:lastRenderedPageBreak/>
        <w:t>the beginning of the rating change process.</w:t>
      </w:r>
      <w:r w:rsidR="00567CB3">
        <w:rPr>
          <w:rFonts w:ascii="Times New Roman" w:hAnsi="Times New Roman" w:cs="Times New Roman"/>
          <w:sz w:val="24"/>
          <w:szCs w:val="24"/>
        </w:rPr>
        <w:t xml:space="preserve">  After the </w:t>
      </w:r>
      <w:r w:rsidR="007355A6">
        <w:rPr>
          <w:rFonts w:ascii="Times New Roman" w:hAnsi="Times New Roman" w:cs="Times New Roman"/>
          <w:sz w:val="24"/>
          <w:szCs w:val="24"/>
        </w:rPr>
        <w:t xml:space="preserve">downgrade, </w:t>
      </w:r>
      <w:r w:rsidR="00EE318B" w:rsidRPr="00EE318B">
        <w:rPr>
          <w:rFonts w:ascii="Times New Roman Italic" w:hAnsi="Times New Roman Italic" w:cs="Times New Roman"/>
          <w:i/>
          <w:sz w:val="24"/>
          <w:szCs w:val="24"/>
        </w:rPr>
        <w:t>TD/TA</w:t>
      </w:r>
      <w:r w:rsidR="007355A6">
        <w:rPr>
          <w:rFonts w:ascii="Times New Roman" w:hAnsi="Times New Roman" w:cs="Times New Roman"/>
          <w:sz w:val="24"/>
          <w:szCs w:val="24"/>
        </w:rPr>
        <w:t xml:space="preserve"> and </w:t>
      </w:r>
      <w:r w:rsidR="00EE318B" w:rsidRPr="00EE318B">
        <w:rPr>
          <w:rFonts w:ascii="Times New Roman" w:hAnsi="Times New Roman" w:cs="Times New Roman"/>
          <w:i/>
          <w:sz w:val="24"/>
          <w:szCs w:val="24"/>
        </w:rPr>
        <w:t>LTD/TA</w:t>
      </w:r>
      <w:r w:rsidR="007355A6">
        <w:rPr>
          <w:rFonts w:ascii="Times New Roman" w:hAnsi="Times New Roman" w:cs="Times New Roman"/>
          <w:sz w:val="24"/>
          <w:szCs w:val="24"/>
        </w:rPr>
        <w:t xml:space="preserve"> ratios again </w:t>
      </w:r>
      <w:r w:rsidR="00C420DD">
        <w:rPr>
          <w:rFonts w:ascii="Times New Roman" w:hAnsi="Times New Roman" w:cs="Times New Roman"/>
          <w:sz w:val="24"/>
          <w:szCs w:val="24"/>
        </w:rPr>
        <w:t xml:space="preserve">recover </w:t>
      </w:r>
      <w:r w:rsidR="007355A6">
        <w:rPr>
          <w:rFonts w:ascii="Times New Roman" w:hAnsi="Times New Roman" w:cs="Times New Roman"/>
          <w:sz w:val="24"/>
          <w:szCs w:val="24"/>
        </w:rPr>
        <w:t xml:space="preserve">to </w:t>
      </w:r>
      <w:r w:rsidR="00C420DD">
        <w:rPr>
          <w:rFonts w:ascii="Times New Roman" w:hAnsi="Times New Roman" w:cs="Times New Roman"/>
          <w:sz w:val="24"/>
          <w:szCs w:val="24"/>
        </w:rPr>
        <w:t>levels a little higher than those observed i</w:t>
      </w:r>
      <w:r w:rsidR="007355A6">
        <w:rPr>
          <w:rFonts w:ascii="Times New Roman" w:hAnsi="Times New Roman" w:cs="Times New Roman"/>
          <w:sz w:val="24"/>
          <w:szCs w:val="24"/>
        </w:rPr>
        <w:t xml:space="preserve">n Figures 2 and 2a.  </w:t>
      </w:r>
    </w:p>
    <w:p w14:paraId="1C4249F7" w14:textId="77777777" w:rsidR="00A22C6F" w:rsidRDefault="006C49D2" w:rsidP="00A22C6F">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Consistent with </w:t>
      </w:r>
      <w:r w:rsidR="0050097A">
        <w:rPr>
          <w:rFonts w:ascii="Times New Roman" w:hAnsi="Times New Roman" w:cs="Times New Roman"/>
          <w:sz w:val="24"/>
          <w:szCs w:val="24"/>
        </w:rPr>
        <w:t xml:space="preserve">evidence </w:t>
      </w:r>
      <w:r>
        <w:rPr>
          <w:rFonts w:ascii="Times New Roman" w:hAnsi="Times New Roman" w:cs="Times New Roman"/>
          <w:sz w:val="24"/>
          <w:szCs w:val="24"/>
        </w:rPr>
        <w:t xml:space="preserve">provided </w:t>
      </w:r>
      <w:r w:rsidR="000634B7">
        <w:rPr>
          <w:rFonts w:ascii="Times New Roman" w:hAnsi="Times New Roman" w:cs="Times New Roman"/>
          <w:sz w:val="24"/>
          <w:szCs w:val="24"/>
        </w:rPr>
        <w:t xml:space="preserve">in Table 3, </w:t>
      </w:r>
      <w:r w:rsidR="0010286A">
        <w:rPr>
          <w:rFonts w:ascii="Times New Roman" w:hAnsi="Times New Roman" w:cs="Times New Roman"/>
          <w:sz w:val="24"/>
          <w:szCs w:val="24"/>
        </w:rPr>
        <w:t>P</w:t>
      </w:r>
      <w:r w:rsidR="0050097A">
        <w:rPr>
          <w:rFonts w:ascii="Times New Roman" w:hAnsi="Times New Roman" w:cs="Times New Roman"/>
          <w:sz w:val="24"/>
          <w:szCs w:val="24"/>
        </w:rPr>
        <w:t xml:space="preserve">anel </w:t>
      </w:r>
      <w:r w:rsidR="00DE26C3">
        <w:rPr>
          <w:rFonts w:ascii="Times New Roman" w:hAnsi="Times New Roman" w:cs="Times New Roman"/>
          <w:sz w:val="24"/>
          <w:szCs w:val="24"/>
        </w:rPr>
        <w:t xml:space="preserve">B </w:t>
      </w:r>
      <w:r w:rsidR="0050097A">
        <w:rPr>
          <w:rFonts w:ascii="Times New Roman" w:hAnsi="Times New Roman" w:cs="Times New Roman"/>
          <w:sz w:val="24"/>
          <w:szCs w:val="24"/>
        </w:rPr>
        <w:t xml:space="preserve">of Table 4 shows that PRE </w:t>
      </w:r>
      <w:r w:rsidR="00EE318B" w:rsidRPr="00EE318B">
        <w:rPr>
          <w:rFonts w:ascii="Times New Roman" w:hAnsi="Times New Roman" w:cs="Times New Roman"/>
          <w:i/>
          <w:sz w:val="24"/>
          <w:szCs w:val="24"/>
        </w:rPr>
        <w:t>TD/TA</w:t>
      </w:r>
      <w:r w:rsidR="0050097A">
        <w:rPr>
          <w:rFonts w:ascii="Times New Roman" w:hAnsi="Times New Roman" w:cs="Times New Roman"/>
          <w:sz w:val="24"/>
          <w:szCs w:val="24"/>
        </w:rPr>
        <w:t xml:space="preserve"> is </w:t>
      </w:r>
      <w:r w:rsidR="00BB27B2">
        <w:rPr>
          <w:rFonts w:ascii="Times New Roman" w:hAnsi="Times New Roman" w:cs="Times New Roman"/>
          <w:sz w:val="24"/>
          <w:szCs w:val="24"/>
        </w:rPr>
        <w:t>signif</w:t>
      </w:r>
      <w:r w:rsidR="0050097A">
        <w:rPr>
          <w:rFonts w:ascii="Times New Roman" w:hAnsi="Times New Roman" w:cs="Times New Roman"/>
          <w:sz w:val="24"/>
          <w:szCs w:val="24"/>
        </w:rPr>
        <w:t xml:space="preserve">icantly less than POST </w:t>
      </w:r>
      <w:r w:rsidR="00EE318B" w:rsidRPr="00EE318B">
        <w:rPr>
          <w:rFonts w:ascii="Times New Roman" w:hAnsi="Times New Roman" w:cs="Times New Roman"/>
          <w:i/>
          <w:sz w:val="24"/>
          <w:szCs w:val="24"/>
        </w:rPr>
        <w:t>TD/TA</w:t>
      </w:r>
      <w:r w:rsidR="0050097A">
        <w:rPr>
          <w:rFonts w:ascii="Times New Roman" w:hAnsi="Times New Roman" w:cs="Times New Roman"/>
          <w:sz w:val="24"/>
          <w:szCs w:val="24"/>
        </w:rPr>
        <w:t xml:space="preserve"> </w:t>
      </w:r>
      <w:r w:rsidR="00BB27B2">
        <w:rPr>
          <w:rFonts w:ascii="Times New Roman" w:hAnsi="Times New Roman" w:cs="Times New Roman"/>
          <w:sz w:val="24"/>
          <w:szCs w:val="24"/>
        </w:rPr>
        <w:t>for AAA and AA- through B+ categories.</w:t>
      </w:r>
      <w:r w:rsidR="008B7962">
        <w:rPr>
          <w:rFonts w:ascii="Times New Roman" w:hAnsi="Times New Roman" w:cs="Times New Roman"/>
          <w:sz w:val="24"/>
          <w:szCs w:val="24"/>
        </w:rPr>
        <w:t xml:space="preserve"> </w:t>
      </w:r>
      <w:r w:rsidR="00BB27B2">
        <w:rPr>
          <w:rFonts w:ascii="Times New Roman" w:hAnsi="Times New Roman" w:cs="Times New Roman"/>
          <w:sz w:val="24"/>
          <w:szCs w:val="24"/>
        </w:rPr>
        <w:t xml:space="preserve"> </w:t>
      </w:r>
      <w:r w:rsidR="008B7962">
        <w:rPr>
          <w:rFonts w:ascii="Times New Roman" w:hAnsi="Times New Roman" w:cs="Times New Roman"/>
          <w:sz w:val="24"/>
          <w:szCs w:val="24"/>
        </w:rPr>
        <w:t xml:space="preserve">For categories </w:t>
      </w:r>
      <w:r w:rsidR="00BB27B2">
        <w:rPr>
          <w:rFonts w:ascii="Times New Roman" w:hAnsi="Times New Roman" w:cs="Times New Roman"/>
          <w:sz w:val="24"/>
          <w:szCs w:val="24"/>
        </w:rPr>
        <w:t>B through CC</w:t>
      </w:r>
      <w:r w:rsidR="0050097A">
        <w:rPr>
          <w:rFonts w:ascii="Times New Roman" w:hAnsi="Times New Roman" w:cs="Times New Roman"/>
          <w:sz w:val="24"/>
          <w:szCs w:val="24"/>
        </w:rPr>
        <w:t>, though,</w:t>
      </w:r>
      <w:r w:rsidR="00BB27B2">
        <w:rPr>
          <w:rFonts w:ascii="Times New Roman" w:hAnsi="Times New Roman" w:cs="Times New Roman"/>
          <w:sz w:val="24"/>
          <w:szCs w:val="24"/>
        </w:rPr>
        <w:t xml:space="preserve"> the results </w:t>
      </w:r>
      <w:r w:rsidR="004C543D">
        <w:rPr>
          <w:rFonts w:ascii="Times New Roman" w:hAnsi="Times New Roman" w:cs="Times New Roman"/>
          <w:sz w:val="24"/>
          <w:szCs w:val="24"/>
        </w:rPr>
        <w:t xml:space="preserve">similarly </w:t>
      </w:r>
      <w:r w:rsidR="00BB27B2">
        <w:rPr>
          <w:rFonts w:ascii="Times New Roman" w:hAnsi="Times New Roman" w:cs="Times New Roman"/>
          <w:sz w:val="24"/>
          <w:szCs w:val="24"/>
        </w:rPr>
        <w:t xml:space="preserve">flip with </w:t>
      </w:r>
      <w:r w:rsidR="00EE318B" w:rsidRPr="00EE318B">
        <w:rPr>
          <w:rFonts w:ascii="Times New Roman" w:hAnsi="Times New Roman" w:cs="Times New Roman"/>
          <w:i/>
          <w:sz w:val="24"/>
          <w:szCs w:val="24"/>
        </w:rPr>
        <w:t>TD/TA</w:t>
      </w:r>
      <w:r w:rsidR="00BB27B2">
        <w:rPr>
          <w:rFonts w:ascii="Times New Roman" w:hAnsi="Times New Roman" w:cs="Times New Roman"/>
          <w:sz w:val="24"/>
          <w:szCs w:val="24"/>
        </w:rPr>
        <w:t xml:space="preserve"> significantly greater </w:t>
      </w:r>
      <w:r w:rsidR="00515F66">
        <w:rPr>
          <w:rFonts w:ascii="Times New Roman" w:hAnsi="Times New Roman" w:cs="Times New Roman"/>
          <w:sz w:val="24"/>
          <w:szCs w:val="24"/>
        </w:rPr>
        <w:t xml:space="preserve">after the downgrade </w:t>
      </w:r>
      <w:r w:rsidR="004C543D">
        <w:rPr>
          <w:rFonts w:ascii="Times New Roman" w:hAnsi="Times New Roman" w:cs="Times New Roman"/>
          <w:sz w:val="24"/>
          <w:szCs w:val="24"/>
        </w:rPr>
        <w:t>with differences of .0186, .0259, .0660, .1057, .1564, and .1831</w:t>
      </w:r>
      <w:r w:rsidR="0042094F">
        <w:rPr>
          <w:rFonts w:ascii="Times New Roman" w:hAnsi="Times New Roman" w:cs="Times New Roman"/>
          <w:sz w:val="24"/>
          <w:szCs w:val="24"/>
        </w:rPr>
        <w:t>, respectively</w:t>
      </w:r>
      <w:r w:rsidR="004C543D">
        <w:rPr>
          <w:rFonts w:ascii="Times New Roman" w:hAnsi="Times New Roman" w:cs="Times New Roman"/>
          <w:sz w:val="24"/>
          <w:szCs w:val="24"/>
        </w:rPr>
        <w:t xml:space="preserve">.  When comparing PRE and POST average </w:t>
      </w:r>
      <w:r w:rsidR="00EE318B" w:rsidRPr="00EE318B">
        <w:rPr>
          <w:rFonts w:ascii="Times New Roman" w:hAnsi="Times New Roman" w:cs="Times New Roman"/>
          <w:i/>
          <w:sz w:val="24"/>
          <w:szCs w:val="24"/>
        </w:rPr>
        <w:t>LTD/TA</w:t>
      </w:r>
      <w:r w:rsidR="004C543D">
        <w:rPr>
          <w:rFonts w:ascii="Times New Roman" w:hAnsi="Times New Roman" w:cs="Times New Roman"/>
          <w:sz w:val="24"/>
          <w:szCs w:val="24"/>
        </w:rPr>
        <w:t xml:space="preserve"> for these </w:t>
      </w:r>
      <w:r w:rsidR="0042094F">
        <w:rPr>
          <w:rFonts w:ascii="Times New Roman" w:hAnsi="Times New Roman" w:cs="Times New Roman"/>
          <w:sz w:val="24"/>
          <w:szCs w:val="24"/>
        </w:rPr>
        <w:t xml:space="preserve">same </w:t>
      </w:r>
      <w:r w:rsidR="004C543D">
        <w:rPr>
          <w:rFonts w:ascii="Times New Roman" w:hAnsi="Times New Roman" w:cs="Times New Roman"/>
          <w:sz w:val="24"/>
          <w:szCs w:val="24"/>
        </w:rPr>
        <w:t xml:space="preserve">categories, the differences are .0366, .0791, .1452, .1782, .2195, and .2215, respectively.  </w:t>
      </w:r>
      <w:proofErr w:type="gramStart"/>
      <w:r w:rsidR="0042094F">
        <w:rPr>
          <w:rFonts w:ascii="Times New Roman" w:hAnsi="Times New Roman" w:cs="Times New Roman"/>
          <w:sz w:val="24"/>
          <w:szCs w:val="24"/>
        </w:rPr>
        <w:t>All of</w:t>
      </w:r>
      <w:proofErr w:type="gramEnd"/>
      <w:r w:rsidR="0042094F">
        <w:rPr>
          <w:rFonts w:ascii="Times New Roman" w:hAnsi="Times New Roman" w:cs="Times New Roman"/>
          <w:sz w:val="24"/>
          <w:szCs w:val="24"/>
        </w:rPr>
        <w:t xml:space="preserve"> these differences for ratings B through CC in both of these relative debt measures are significant at the .0001 level.  </w:t>
      </w:r>
    </w:p>
    <w:p w14:paraId="0DDB25C8" w14:textId="6D4C1EB0" w:rsidR="00D665EB" w:rsidRPr="00A22C6F" w:rsidRDefault="00930494" w:rsidP="00A22C6F">
      <w:pPr>
        <w:spacing w:line="360" w:lineRule="auto"/>
        <w:ind w:firstLine="360"/>
        <w:rPr>
          <w:rFonts w:ascii="Times New Roman" w:hAnsi="Times New Roman" w:cs="Times New Roman"/>
          <w:sz w:val="24"/>
          <w:szCs w:val="24"/>
        </w:rPr>
      </w:pPr>
      <w:r w:rsidRPr="00A22C6F">
        <w:rPr>
          <w:rFonts w:ascii="Times New Roman" w:hAnsi="Times New Roman" w:cs="Times New Roman"/>
          <w:b/>
          <w:i/>
          <w:sz w:val="24"/>
          <w:szCs w:val="24"/>
        </w:rPr>
        <w:t xml:space="preserve">B5. </w:t>
      </w:r>
      <w:r w:rsidR="00D665EB" w:rsidRPr="00A22C6F">
        <w:rPr>
          <w:rFonts w:ascii="Times New Roman" w:hAnsi="Times New Roman" w:cs="Times New Roman"/>
          <w:b/>
          <w:i/>
          <w:sz w:val="24"/>
          <w:szCs w:val="24"/>
        </w:rPr>
        <w:t>Relative Debt Changes Surrounding Upgrades and Downgrades: Conclusions</w:t>
      </w:r>
    </w:p>
    <w:p w14:paraId="1161E089" w14:textId="18D4C55F" w:rsidR="008D376C" w:rsidRPr="00B631D2" w:rsidRDefault="00C4555D" w:rsidP="00D72582">
      <w:pPr>
        <w:spacing w:after="0" w:line="360" w:lineRule="auto"/>
        <w:ind w:firstLine="360"/>
        <w:rPr>
          <w:rFonts w:ascii="Times New Roman" w:hAnsi="Times New Roman" w:cs="Times New Roman"/>
          <w:color w:val="000000" w:themeColor="text1"/>
          <w:sz w:val="24"/>
          <w:szCs w:val="24"/>
        </w:rPr>
      </w:pPr>
      <w:r w:rsidRPr="00474EA9">
        <w:rPr>
          <w:rFonts w:ascii="Times New Roman" w:hAnsi="Times New Roman" w:cs="Times New Roman"/>
          <w:color w:val="000000" w:themeColor="text1"/>
          <w:sz w:val="24"/>
          <w:szCs w:val="24"/>
        </w:rPr>
        <w:t xml:space="preserve">Overall, </w:t>
      </w:r>
      <w:r w:rsidR="00631BB2">
        <w:rPr>
          <w:rFonts w:ascii="Times New Roman" w:hAnsi="Times New Roman" w:cs="Times New Roman"/>
          <w:color w:val="000000" w:themeColor="text1"/>
          <w:sz w:val="24"/>
          <w:szCs w:val="24"/>
        </w:rPr>
        <w:t>the evidence presented above related to relative debt level changes surrounding rating changes revea</w:t>
      </w:r>
      <w:r w:rsidR="008C4A72" w:rsidRPr="00474EA9">
        <w:rPr>
          <w:rFonts w:ascii="Times New Roman" w:hAnsi="Times New Roman" w:cs="Times New Roman"/>
          <w:color w:val="000000" w:themeColor="text1"/>
          <w:sz w:val="24"/>
          <w:szCs w:val="24"/>
        </w:rPr>
        <w:t>l</w:t>
      </w:r>
      <w:r w:rsidR="00631BB2">
        <w:rPr>
          <w:rFonts w:ascii="Times New Roman" w:hAnsi="Times New Roman" w:cs="Times New Roman"/>
          <w:color w:val="000000" w:themeColor="text1"/>
          <w:sz w:val="24"/>
          <w:szCs w:val="24"/>
        </w:rPr>
        <w:t>s</w:t>
      </w:r>
      <w:r w:rsidR="008C4A72" w:rsidRPr="00474EA9">
        <w:rPr>
          <w:rFonts w:ascii="Times New Roman" w:hAnsi="Times New Roman" w:cs="Times New Roman"/>
          <w:color w:val="000000" w:themeColor="text1"/>
          <w:sz w:val="24"/>
          <w:szCs w:val="24"/>
        </w:rPr>
        <w:t xml:space="preserve"> </w:t>
      </w:r>
      <w:r w:rsidR="008C4DF1">
        <w:rPr>
          <w:rFonts w:ascii="Times New Roman" w:hAnsi="Times New Roman" w:cs="Times New Roman"/>
          <w:color w:val="000000" w:themeColor="text1"/>
          <w:sz w:val="24"/>
          <w:szCs w:val="24"/>
        </w:rPr>
        <w:t>f</w:t>
      </w:r>
      <w:r w:rsidR="00861E6D">
        <w:rPr>
          <w:rFonts w:ascii="Times New Roman" w:hAnsi="Times New Roman" w:cs="Times New Roman"/>
          <w:color w:val="000000" w:themeColor="text1"/>
          <w:sz w:val="24"/>
          <w:szCs w:val="24"/>
        </w:rPr>
        <w:t>our</w:t>
      </w:r>
      <w:r w:rsidRPr="00474EA9">
        <w:rPr>
          <w:rFonts w:ascii="Times New Roman" w:hAnsi="Times New Roman" w:cs="Times New Roman"/>
          <w:color w:val="000000" w:themeColor="text1"/>
          <w:sz w:val="24"/>
          <w:szCs w:val="24"/>
        </w:rPr>
        <w:t xml:space="preserve"> important conclusions.  First, in moving from the </w:t>
      </w:r>
      <w:r w:rsidR="00586C0B">
        <w:rPr>
          <w:rFonts w:ascii="Times New Roman" w:hAnsi="Times New Roman" w:cs="Times New Roman"/>
          <w:color w:val="000000" w:themeColor="text1"/>
          <w:sz w:val="24"/>
          <w:szCs w:val="24"/>
        </w:rPr>
        <w:t>highest-rated IG</w:t>
      </w:r>
      <w:r w:rsidRPr="00474EA9">
        <w:rPr>
          <w:rFonts w:ascii="Times New Roman" w:hAnsi="Times New Roman" w:cs="Times New Roman"/>
          <w:color w:val="000000" w:themeColor="text1"/>
          <w:sz w:val="24"/>
          <w:szCs w:val="24"/>
        </w:rPr>
        <w:t xml:space="preserve"> firms to the </w:t>
      </w:r>
      <w:r w:rsidR="00586C0B">
        <w:rPr>
          <w:rFonts w:ascii="Times New Roman" w:hAnsi="Times New Roman" w:cs="Times New Roman"/>
          <w:color w:val="000000" w:themeColor="text1"/>
          <w:sz w:val="24"/>
          <w:szCs w:val="24"/>
        </w:rPr>
        <w:t>lowest-rated SG</w:t>
      </w:r>
      <w:r w:rsidRPr="00474EA9">
        <w:rPr>
          <w:rFonts w:ascii="Times New Roman" w:hAnsi="Times New Roman" w:cs="Times New Roman"/>
          <w:color w:val="000000" w:themeColor="text1"/>
          <w:sz w:val="24"/>
          <w:szCs w:val="24"/>
        </w:rPr>
        <w:t xml:space="preserve"> firms, </w:t>
      </w:r>
      <w:r w:rsidR="0047339A">
        <w:rPr>
          <w:rFonts w:ascii="Times New Roman" w:hAnsi="Times New Roman" w:cs="Times New Roman"/>
          <w:color w:val="000000" w:themeColor="text1"/>
          <w:sz w:val="24"/>
          <w:szCs w:val="24"/>
        </w:rPr>
        <w:t xml:space="preserve">debt levels </w:t>
      </w:r>
      <w:r w:rsidRPr="00474EA9">
        <w:rPr>
          <w:rFonts w:ascii="Times New Roman" w:hAnsi="Times New Roman" w:cs="Times New Roman"/>
          <w:color w:val="000000" w:themeColor="text1"/>
          <w:sz w:val="24"/>
          <w:szCs w:val="24"/>
        </w:rPr>
        <w:t xml:space="preserve">generally rise.  </w:t>
      </w:r>
      <w:r w:rsidR="005402F1" w:rsidRPr="00474EA9">
        <w:rPr>
          <w:rFonts w:ascii="Times New Roman" w:hAnsi="Times New Roman" w:cs="Times New Roman"/>
          <w:color w:val="000000" w:themeColor="text1"/>
          <w:sz w:val="24"/>
          <w:szCs w:val="24"/>
        </w:rPr>
        <w:t>T</w:t>
      </w:r>
      <w:r w:rsidR="00DB02EA">
        <w:rPr>
          <w:rFonts w:ascii="Times New Roman" w:hAnsi="Times New Roman" w:cs="Times New Roman"/>
          <w:color w:val="000000" w:themeColor="text1"/>
          <w:sz w:val="24"/>
          <w:szCs w:val="24"/>
        </w:rPr>
        <w:t xml:space="preserve">hus, </w:t>
      </w:r>
      <w:r w:rsidR="005402F1" w:rsidRPr="00474EA9">
        <w:rPr>
          <w:rFonts w:ascii="Times New Roman" w:hAnsi="Times New Roman" w:cs="Times New Roman"/>
          <w:color w:val="000000" w:themeColor="text1"/>
          <w:sz w:val="24"/>
          <w:szCs w:val="24"/>
        </w:rPr>
        <w:t xml:space="preserve">firms </w:t>
      </w:r>
      <w:r w:rsidR="001D7894">
        <w:rPr>
          <w:rFonts w:ascii="Times New Roman" w:hAnsi="Times New Roman" w:cs="Times New Roman"/>
          <w:color w:val="000000" w:themeColor="text1"/>
          <w:sz w:val="24"/>
          <w:szCs w:val="24"/>
        </w:rPr>
        <w:t xml:space="preserve">have an incentive to </w:t>
      </w:r>
      <w:r w:rsidR="005402F1" w:rsidRPr="00474EA9">
        <w:rPr>
          <w:rFonts w:ascii="Times New Roman" w:hAnsi="Times New Roman" w:cs="Times New Roman"/>
          <w:color w:val="000000" w:themeColor="text1"/>
          <w:sz w:val="24"/>
          <w:szCs w:val="24"/>
        </w:rPr>
        <w:t xml:space="preserve">lower </w:t>
      </w:r>
      <w:r w:rsidR="00EE318B" w:rsidRPr="00EE318B">
        <w:rPr>
          <w:rFonts w:ascii="Times New Roman" w:hAnsi="Times New Roman" w:cs="Times New Roman"/>
          <w:i/>
          <w:color w:val="000000" w:themeColor="text1"/>
          <w:sz w:val="24"/>
          <w:szCs w:val="24"/>
        </w:rPr>
        <w:t>TD/TA</w:t>
      </w:r>
      <w:r w:rsidR="005402F1" w:rsidRPr="00474EA9">
        <w:rPr>
          <w:rFonts w:ascii="Times New Roman" w:hAnsi="Times New Roman" w:cs="Times New Roman"/>
          <w:color w:val="000000" w:themeColor="text1"/>
          <w:sz w:val="24"/>
          <w:szCs w:val="24"/>
        </w:rPr>
        <w:t xml:space="preserve"> to lower costs through </w:t>
      </w:r>
      <w:r w:rsidR="00D913EF" w:rsidRPr="00474EA9">
        <w:rPr>
          <w:rFonts w:ascii="Times New Roman" w:hAnsi="Times New Roman" w:cs="Times New Roman"/>
          <w:color w:val="000000" w:themeColor="text1"/>
          <w:sz w:val="24"/>
          <w:szCs w:val="24"/>
        </w:rPr>
        <w:t>i</w:t>
      </w:r>
      <w:r w:rsidR="005402F1" w:rsidRPr="00474EA9">
        <w:rPr>
          <w:rFonts w:ascii="Times New Roman" w:hAnsi="Times New Roman" w:cs="Times New Roman"/>
          <w:color w:val="000000" w:themeColor="text1"/>
          <w:sz w:val="24"/>
          <w:szCs w:val="24"/>
        </w:rPr>
        <w:t>mprov</w:t>
      </w:r>
      <w:r w:rsidR="00D913EF" w:rsidRPr="00474EA9">
        <w:rPr>
          <w:rFonts w:ascii="Times New Roman" w:hAnsi="Times New Roman" w:cs="Times New Roman"/>
          <w:color w:val="000000" w:themeColor="text1"/>
          <w:sz w:val="24"/>
          <w:szCs w:val="24"/>
        </w:rPr>
        <w:t>ed</w:t>
      </w:r>
      <w:r w:rsidR="005402F1" w:rsidRPr="00474EA9">
        <w:rPr>
          <w:rFonts w:ascii="Times New Roman" w:hAnsi="Times New Roman" w:cs="Times New Roman"/>
          <w:color w:val="000000" w:themeColor="text1"/>
          <w:sz w:val="24"/>
          <w:szCs w:val="24"/>
        </w:rPr>
        <w:t xml:space="preserve"> ratings.  </w:t>
      </w:r>
      <w:r w:rsidR="007A7103">
        <w:rPr>
          <w:rFonts w:ascii="Times New Roman" w:hAnsi="Times New Roman" w:cs="Times New Roman"/>
          <w:color w:val="000000" w:themeColor="text1"/>
          <w:sz w:val="24"/>
          <w:szCs w:val="24"/>
        </w:rPr>
        <w:t>Second, SG firms more dramatically alter relative debt levels both PRE and POST than IG firms</w:t>
      </w:r>
      <w:r w:rsidR="00374D13">
        <w:rPr>
          <w:rFonts w:ascii="Times New Roman" w:hAnsi="Times New Roman" w:cs="Times New Roman"/>
          <w:color w:val="000000" w:themeColor="text1"/>
          <w:sz w:val="24"/>
          <w:szCs w:val="24"/>
        </w:rPr>
        <w:t xml:space="preserve"> do</w:t>
      </w:r>
      <w:r w:rsidR="007A7103">
        <w:rPr>
          <w:rFonts w:ascii="Times New Roman" w:hAnsi="Times New Roman" w:cs="Times New Roman"/>
          <w:color w:val="000000" w:themeColor="text1"/>
          <w:sz w:val="24"/>
          <w:szCs w:val="24"/>
        </w:rPr>
        <w:t>.</w:t>
      </w:r>
      <w:r w:rsidR="00C23183">
        <w:rPr>
          <w:rFonts w:ascii="Times New Roman" w:hAnsi="Times New Roman" w:cs="Times New Roman"/>
          <w:color w:val="000000" w:themeColor="text1"/>
          <w:sz w:val="24"/>
          <w:szCs w:val="24"/>
        </w:rPr>
        <w:t xml:space="preserve">  </w:t>
      </w:r>
      <w:r w:rsidR="00B631D2">
        <w:rPr>
          <w:rFonts w:ascii="Times New Roman" w:hAnsi="Times New Roman" w:cs="Times New Roman"/>
          <w:color w:val="000000" w:themeColor="text1"/>
          <w:sz w:val="24"/>
          <w:szCs w:val="24"/>
        </w:rPr>
        <w:t xml:space="preserve">Not only do they increase and decrease debt levels more dramatically than IG firms PRE, they also more dramatically increase debt levels POST.  </w:t>
      </w:r>
      <w:r w:rsidR="00D8778D">
        <w:rPr>
          <w:rFonts w:ascii="Times New Roman" w:hAnsi="Times New Roman" w:cs="Times New Roman"/>
          <w:color w:val="000000" w:themeColor="text1"/>
          <w:sz w:val="24"/>
          <w:szCs w:val="24"/>
        </w:rPr>
        <w:t xml:space="preserve">Third, </w:t>
      </w:r>
      <w:r w:rsidR="000703EB">
        <w:rPr>
          <w:rFonts w:ascii="Times New Roman" w:hAnsi="Times New Roman" w:cs="Times New Roman"/>
          <w:sz w:val="24"/>
          <w:szCs w:val="24"/>
        </w:rPr>
        <w:t xml:space="preserve">the </w:t>
      </w:r>
      <w:r w:rsidRPr="004B2D33">
        <w:rPr>
          <w:rFonts w:ascii="Times New Roman" w:hAnsi="Times New Roman" w:cs="Times New Roman"/>
          <w:sz w:val="24"/>
          <w:szCs w:val="24"/>
        </w:rPr>
        <w:t xml:space="preserve">anticipation of downgrades is </w:t>
      </w:r>
      <w:r w:rsidR="006C5168" w:rsidRPr="004B2D33">
        <w:rPr>
          <w:rFonts w:ascii="Times New Roman" w:hAnsi="Times New Roman" w:cs="Times New Roman"/>
          <w:sz w:val="24"/>
          <w:szCs w:val="24"/>
        </w:rPr>
        <w:t xml:space="preserve">strongly </w:t>
      </w:r>
      <w:r w:rsidR="000703EB">
        <w:rPr>
          <w:rFonts w:ascii="Times New Roman" w:hAnsi="Times New Roman" w:cs="Times New Roman"/>
          <w:sz w:val="24"/>
          <w:szCs w:val="24"/>
        </w:rPr>
        <w:t xml:space="preserve">suggested by reductions in relative debt levels from </w:t>
      </w:r>
      <w:r w:rsidR="00C25CF3" w:rsidRPr="004B2D33">
        <w:rPr>
          <w:rFonts w:ascii="Times New Roman" w:hAnsi="Times New Roman" w:cs="Times New Roman"/>
          <w:sz w:val="24"/>
          <w:szCs w:val="24"/>
        </w:rPr>
        <w:t xml:space="preserve">two to four quarters </w:t>
      </w:r>
      <w:r w:rsidR="00D8778D">
        <w:rPr>
          <w:rFonts w:ascii="Times New Roman" w:hAnsi="Times New Roman" w:cs="Times New Roman"/>
          <w:sz w:val="24"/>
          <w:szCs w:val="24"/>
        </w:rPr>
        <w:t xml:space="preserve">PRE.  </w:t>
      </w:r>
      <w:r w:rsidR="000703EB">
        <w:rPr>
          <w:rFonts w:ascii="Times New Roman" w:hAnsi="Times New Roman" w:cs="Times New Roman"/>
          <w:sz w:val="24"/>
          <w:szCs w:val="24"/>
        </w:rPr>
        <w:t xml:space="preserve">These reductions are </w:t>
      </w:r>
      <w:r w:rsidR="00163B25" w:rsidRPr="004B2D33">
        <w:rPr>
          <w:rFonts w:ascii="Times New Roman" w:hAnsi="Times New Roman" w:cs="Times New Roman"/>
          <w:sz w:val="24"/>
          <w:szCs w:val="24"/>
        </w:rPr>
        <w:t xml:space="preserve">independent of </w:t>
      </w:r>
      <w:r w:rsidR="00F27A2D">
        <w:rPr>
          <w:rFonts w:ascii="Times New Roman" w:hAnsi="Times New Roman" w:cs="Times New Roman"/>
          <w:sz w:val="24"/>
          <w:szCs w:val="24"/>
        </w:rPr>
        <w:t xml:space="preserve">the presence of </w:t>
      </w:r>
      <w:r w:rsidR="0016631A">
        <w:rPr>
          <w:rFonts w:ascii="Times New Roman" w:hAnsi="Times New Roman" w:cs="Times New Roman"/>
          <w:sz w:val="24"/>
          <w:szCs w:val="24"/>
        </w:rPr>
        <w:t>CW announcements</w:t>
      </w:r>
      <w:r w:rsidR="00163B25" w:rsidRPr="004B2D33">
        <w:rPr>
          <w:rFonts w:ascii="Times New Roman" w:hAnsi="Times New Roman" w:cs="Times New Roman"/>
          <w:sz w:val="24"/>
          <w:szCs w:val="24"/>
        </w:rPr>
        <w:t xml:space="preserve">, suggesting that </w:t>
      </w:r>
      <w:r w:rsidR="007C31C8">
        <w:rPr>
          <w:rFonts w:ascii="Times New Roman" w:hAnsi="Times New Roman" w:cs="Times New Roman"/>
          <w:sz w:val="24"/>
          <w:szCs w:val="24"/>
        </w:rPr>
        <w:t>the S&amp;P credit rating process</w:t>
      </w:r>
      <w:r w:rsidR="00EA3958">
        <w:rPr>
          <w:rFonts w:ascii="Times New Roman" w:hAnsi="Times New Roman" w:cs="Times New Roman"/>
          <w:sz w:val="24"/>
          <w:szCs w:val="24"/>
        </w:rPr>
        <w:t xml:space="preserve"> plays little role in </w:t>
      </w:r>
      <w:r w:rsidR="00482AE2">
        <w:rPr>
          <w:rFonts w:ascii="Times New Roman" w:hAnsi="Times New Roman" w:cs="Times New Roman"/>
          <w:sz w:val="24"/>
          <w:szCs w:val="24"/>
        </w:rPr>
        <w:t xml:space="preserve">motivating </w:t>
      </w:r>
      <w:r w:rsidR="00EA3958">
        <w:rPr>
          <w:rFonts w:ascii="Times New Roman" w:hAnsi="Times New Roman" w:cs="Times New Roman"/>
          <w:sz w:val="24"/>
          <w:szCs w:val="24"/>
        </w:rPr>
        <w:t>these reductions.</w:t>
      </w:r>
      <w:r w:rsidR="003A54C7">
        <w:rPr>
          <w:rFonts w:ascii="Times New Roman" w:hAnsi="Times New Roman" w:cs="Times New Roman"/>
          <w:sz w:val="24"/>
          <w:szCs w:val="24"/>
        </w:rPr>
        <w:t xml:space="preserve">  However, if these dramatic reductions do serve to motivate CW announcements, it is unclear why some of these firms receive announcements while others don’t.</w:t>
      </w:r>
      <w:r w:rsidR="00DA1895">
        <w:rPr>
          <w:rFonts w:ascii="Times New Roman" w:hAnsi="Times New Roman" w:cs="Times New Roman"/>
          <w:sz w:val="24"/>
          <w:szCs w:val="24"/>
        </w:rPr>
        <w:t xml:space="preserve">  </w:t>
      </w:r>
      <w:r w:rsidR="00B631D2">
        <w:rPr>
          <w:rFonts w:ascii="Times New Roman" w:hAnsi="Times New Roman" w:cs="Times New Roman"/>
          <w:sz w:val="24"/>
          <w:szCs w:val="24"/>
        </w:rPr>
        <w:t xml:space="preserve">The evidence of significant </w:t>
      </w:r>
      <w:r w:rsidR="00861E6D">
        <w:rPr>
          <w:rFonts w:ascii="Times New Roman" w:hAnsi="Times New Roman" w:cs="Times New Roman"/>
          <w:sz w:val="24"/>
          <w:szCs w:val="24"/>
        </w:rPr>
        <w:t xml:space="preserve">recovery </w:t>
      </w:r>
      <w:r w:rsidR="00B631D2">
        <w:rPr>
          <w:rFonts w:ascii="Times New Roman" w:hAnsi="Times New Roman" w:cs="Times New Roman"/>
          <w:sz w:val="24"/>
          <w:szCs w:val="24"/>
        </w:rPr>
        <w:t xml:space="preserve">in debt levels by SG firms POST shows that </w:t>
      </w:r>
      <w:r w:rsidR="00861E6D">
        <w:rPr>
          <w:rFonts w:ascii="Times New Roman" w:hAnsi="Times New Roman" w:cs="Times New Roman"/>
          <w:sz w:val="24"/>
          <w:szCs w:val="24"/>
        </w:rPr>
        <w:t xml:space="preserve">downgrades </w:t>
      </w:r>
      <w:r w:rsidR="00B631D2">
        <w:rPr>
          <w:rFonts w:ascii="Times New Roman" w:hAnsi="Times New Roman" w:cs="Times New Roman"/>
          <w:sz w:val="24"/>
          <w:szCs w:val="24"/>
        </w:rPr>
        <w:t>ha</w:t>
      </w:r>
      <w:r w:rsidR="00861E6D">
        <w:rPr>
          <w:rFonts w:ascii="Times New Roman" w:hAnsi="Times New Roman" w:cs="Times New Roman"/>
          <w:sz w:val="24"/>
          <w:szCs w:val="24"/>
        </w:rPr>
        <w:t xml:space="preserve">ve only a temporary </w:t>
      </w:r>
      <w:r w:rsidR="00B631D2">
        <w:rPr>
          <w:rFonts w:ascii="Times New Roman" w:hAnsi="Times New Roman" w:cs="Times New Roman"/>
          <w:sz w:val="24"/>
          <w:szCs w:val="24"/>
        </w:rPr>
        <w:t xml:space="preserve">impact on </w:t>
      </w:r>
      <w:r w:rsidR="00861E6D">
        <w:rPr>
          <w:rFonts w:ascii="Times New Roman" w:hAnsi="Times New Roman" w:cs="Times New Roman"/>
          <w:sz w:val="24"/>
          <w:szCs w:val="24"/>
        </w:rPr>
        <w:t xml:space="preserve">SG firms.  </w:t>
      </w:r>
      <w:r w:rsidR="00D8778D">
        <w:rPr>
          <w:rFonts w:ascii="Times New Roman" w:hAnsi="Times New Roman" w:cs="Times New Roman"/>
          <w:sz w:val="24"/>
          <w:szCs w:val="24"/>
        </w:rPr>
        <w:t xml:space="preserve">Fourth, </w:t>
      </w:r>
      <w:r w:rsidR="00D8778D" w:rsidRPr="00D8778D">
        <w:rPr>
          <w:rFonts w:ascii="Times New Roman" w:hAnsi="Times New Roman" w:cs="Times New Roman"/>
          <w:sz w:val="24"/>
          <w:szCs w:val="24"/>
        </w:rPr>
        <w:t xml:space="preserve">anticipated downgrades elicit greater changes in relative debt levels than upgrades do, and this adjustment is most pronounced for lower-rated SG firms.  </w:t>
      </w:r>
    </w:p>
    <w:p w14:paraId="13F7D6FE" w14:textId="77777777" w:rsidR="004675E3" w:rsidRDefault="006028D5"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CR-CS suggests that management will lower relative debt levels to obtain upgrades in ratings.  Our evidence reveals </w:t>
      </w:r>
      <w:r w:rsidR="0067505F">
        <w:rPr>
          <w:rFonts w:ascii="Times New Roman" w:hAnsi="Times New Roman" w:cs="Times New Roman"/>
          <w:sz w:val="24"/>
          <w:szCs w:val="24"/>
        </w:rPr>
        <w:t xml:space="preserve">no pronounced downward move in relative net debt levels prior to upgrades for </w:t>
      </w:r>
      <w:r w:rsidR="009A0EA6">
        <w:rPr>
          <w:rFonts w:ascii="Times New Roman" w:hAnsi="Times New Roman" w:cs="Times New Roman"/>
          <w:sz w:val="24"/>
          <w:szCs w:val="24"/>
        </w:rPr>
        <w:t>either notch or</w:t>
      </w:r>
      <w:r w:rsidR="00107BCE">
        <w:rPr>
          <w:rFonts w:ascii="Times New Roman" w:hAnsi="Times New Roman" w:cs="Times New Roman"/>
          <w:sz w:val="24"/>
          <w:szCs w:val="24"/>
        </w:rPr>
        <w:t xml:space="preserve"> </w:t>
      </w:r>
      <w:r w:rsidR="009A0EA6">
        <w:rPr>
          <w:rFonts w:ascii="Times New Roman" w:hAnsi="Times New Roman" w:cs="Times New Roman"/>
          <w:sz w:val="24"/>
          <w:szCs w:val="24"/>
        </w:rPr>
        <w:t xml:space="preserve">non-notch </w:t>
      </w:r>
      <w:r w:rsidR="0067505F">
        <w:rPr>
          <w:rFonts w:ascii="Times New Roman" w:hAnsi="Times New Roman" w:cs="Times New Roman"/>
          <w:sz w:val="24"/>
          <w:szCs w:val="24"/>
        </w:rPr>
        <w:t xml:space="preserve">rating categories.  </w:t>
      </w:r>
      <w:r w:rsidR="007D78DB">
        <w:rPr>
          <w:rFonts w:ascii="Times New Roman" w:hAnsi="Times New Roman" w:cs="Times New Roman"/>
          <w:sz w:val="24"/>
          <w:szCs w:val="24"/>
        </w:rPr>
        <w:t xml:space="preserve">These results indicate that factors relating to debt levels and/or changes in these levels are not of primary focus to S&amp;P in upgrade </w:t>
      </w:r>
      <w:r w:rsidR="007D78DB">
        <w:rPr>
          <w:rFonts w:ascii="Times New Roman" w:hAnsi="Times New Roman" w:cs="Times New Roman"/>
          <w:sz w:val="24"/>
          <w:szCs w:val="24"/>
        </w:rPr>
        <w:lastRenderedPageBreak/>
        <w:t xml:space="preserve">decisions.  </w:t>
      </w:r>
      <w:r w:rsidR="00C647ED">
        <w:rPr>
          <w:rFonts w:ascii="Times New Roman" w:hAnsi="Times New Roman" w:cs="Times New Roman"/>
          <w:sz w:val="24"/>
          <w:szCs w:val="24"/>
        </w:rPr>
        <w:t xml:space="preserve">Thus, it seems most reasonable to </w:t>
      </w:r>
      <w:r w:rsidR="007D78DB">
        <w:rPr>
          <w:rFonts w:ascii="Times New Roman" w:hAnsi="Times New Roman" w:cs="Times New Roman"/>
          <w:sz w:val="24"/>
          <w:szCs w:val="24"/>
        </w:rPr>
        <w:t xml:space="preserve">conclude that management </w:t>
      </w:r>
      <w:r w:rsidR="00C647ED">
        <w:rPr>
          <w:rFonts w:ascii="Times New Roman" w:hAnsi="Times New Roman" w:cs="Times New Roman"/>
          <w:sz w:val="24"/>
          <w:szCs w:val="24"/>
        </w:rPr>
        <w:t>would be better served to improve operating p</w:t>
      </w:r>
      <w:r w:rsidR="007D78DB">
        <w:rPr>
          <w:rFonts w:ascii="Times New Roman" w:hAnsi="Times New Roman" w:cs="Times New Roman"/>
          <w:sz w:val="24"/>
          <w:szCs w:val="24"/>
        </w:rPr>
        <w:t xml:space="preserve">erformance rather than </w:t>
      </w:r>
      <w:r w:rsidR="00C647ED">
        <w:rPr>
          <w:rFonts w:ascii="Times New Roman" w:hAnsi="Times New Roman" w:cs="Times New Roman"/>
          <w:sz w:val="24"/>
          <w:szCs w:val="24"/>
        </w:rPr>
        <w:t xml:space="preserve">reduce </w:t>
      </w:r>
      <w:r w:rsidR="007D78DB">
        <w:rPr>
          <w:rFonts w:ascii="Times New Roman" w:hAnsi="Times New Roman" w:cs="Times New Roman"/>
          <w:sz w:val="24"/>
          <w:szCs w:val="24"/>
        </w:rPr>
        <w:t xml:space="preserve">debt </w:t>
      </w:r>
      <w:r w:rsidR="00C647ED">
        <w:rPr>
          <w:rFonts w:ascii="Times New Roman" w:hAnsi="Times New Roman" w:cs="Times New Roman"/>
          <w:sz w:val="24"/>
          <w:szCs w:val="24"/>
        </w:rPr>
        <w:t xml:space="preserve">to improve corporate ratings.  </w:t>
      </w:r>
    </w:p>
    <w:p w14:paraId="5FFD8E41" w14:textId="600AA8BA" w:rsidR="00107BCE" w:rsidRDefault="00C647ED"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Looking from PRE to POST, </w:t>
      </w:r>
      <w:r w:rsidR="009A0EA6">
        <w:rPr>
          <w:rFonts w:ascii="Times New Roman" w:hAnsi="Times New Roman" w:cs="Times New Roman"/>
          <w:sz w:val="24"/>
          <w:szCs w:val="24"/>
        </w:rPr>
        <w:t>IG firms with no CW announcements show no change in relative net debt levels</w:t>
      </w:r>
      <w:r>
        <w:rPr>
          <w:rFonts w:ascii="Times New Roman" w:hAnsi="Times New Roman" w:cs="Times New Roman"/>
          <w:sz w:val="24"/>
          <w:szCs w:val="24"/>
        </w:rPr>
        <w:t>.</w:t>
      </w:r>
      <w:r w:rsidR="009A0EA6">
        <w:rPr>
          <w:rFonts w:ascii="Times New Roman" w:hAnsi="Times New Roman" w:cs="Times New Roman"/>
          <w:sz w:val="24"/>
          <w:szCs w:val="24"/>
        </w:rPr>
        <w:t xml:space="preserve">  On the other hand, IG firms with CW announcements </w:t>
      </w:r>
      <w:r w:rsidR="00107BCE">
        <w:rPr>
          <w:rFonts w:ascii="Times New Roman" w:hAnsi="Times New Roman" w:cs="Times New Roman"/>
          <w:sz w:val="24"/>
          <w:szCs w:val="24"/>
        </w:rPr>
        <w:t xml:space="preserve">and ratings of AA+, AA, and A </w:t>
      </w:r>
      <w:r w:rsidR="009A0EA6">
        <w:rPr>
          <w:rFonts w:ascii="Times New Roman" w:hAnsi="Times New Roman" w:cs="Times New Roman"/>
          <w:sz w:val="24"/>
          <w:szCs w:val="24"/>
        </w:rPr>
        <w:t>do increase these levels with upgrades</w:t>
      </w:r>
      <w:r w:rsidR="00D152C5">
        <w:rPr>
          <w:rFonts w:ascii="Times New Roman" w:hAnsi="Times New Roman" w:cs="Times New Roman"/>
          <w:sz w:val="24"/>
          <w:szCs w:val="24"/>
        </w:rPr>
        <w:t xml:space="preserve"> from PRE to POST</w:t>
      </w:r>
      <w:r w:rsidR="009A0EA6">
        <w:rPr>
          <w:rFonts w:ascii="Times New Roman" w:hAnsi="Times New Roman" w:cs="Times New Roman"/>
          <w:sz w:val="24"/>
          <w:szCs w:val="24"/>
        </w:rPr>
        <w:t xml:space="preserve">, but </w:t>
      </w:r>
      <w:r w:rsidR="00107BCE">
        <w:rPr>
          <w:rFonts w:ascii="Times New Roman" w:hAnsi="Times New Roman" w:cs="Times New Roman"/>
          <w:sz w:val="24"/>
          <w:szCs w:val="24"/>
        </w:rPr>
        <w:t xml:space="preserve">IG firms with ratings of BBB+ and BBB reduce these levels.  When focused on SG firms, net debt levels decrease with upgrades for firms without and with CW announcements, perhaps reflecting additional available financing sources that make these firms less reliant on debt.  </w:t>
      </w:r>
    </w:p>
    <w:p w14:paraId="6C5CEF6C" w14:textId="217C841A" w:rsidR="00B43B85" w:rsidRDefault="00BD63BF" w:rsidP="00D72582">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When focused on downgrades, t</w:t>
      </w:r>
      <w:r w:rsidR="009A0EA6">
        <w:rPr>
          <w:rFonts w:ascii="Times New Roman" w:hAnsi="Times New Roman" w:cs="Times New Roman"/>
          <w:sz w:val="24"/>
          <w:szCs w:val="24"/>
        </w:rPr>
        <w:t>here is significant</w:t>
      </w:r>
      <w:r w:rsidR="000469A1">
        <w:rPr>
          <w:rFonts w:ascii="Times New Roman" w:hAnsi="Times New Roman" w:cs="Times New Roman"/>
          <w:sz w:val="24"/>
          <w:szCs w:val="24"/>
        </w:rPr>
        <w:t xml:space="preserve"> </w:t>
      </w:r>
      <w:r w:rsidR="009A0EA6">
        <w:rPr>
          <w:rFonts w:ascii="Times New Roman" w:hAnsi="Times New Roman" w:cs="Times New Roman"/>
          <w:sz w:val="24"/>
          <w:szCs w:val="24"/>
        </w:rPr>
        <w:t>downward movement in relative debt levels</w:t>
      </w:r>
      <w:r w:rsidR="000469A1">
        <w:rPr>
          <w:rFonts w:ascii="Times New Roman" w:hAnsi="Times New Roman" w:cs="Times New Roman"/>
          <w:sz w:val="24"/>
          <w:szCs w:val="24"/>
        </w:rPr>
        <w:t xml:space="preserve"> measured over </w:t>
      </w:r>
      <w:r w:rsidR="00FB0623">
        <w:rPr>
          <w:rFonts w:ascii="Times New Roman" w:hAnsi="Times New Roman" w:cs="Times New Roman"/>
          <w:sz w:val="24"/>
          <w:szCs w:val="24"/>
        </w:rPr>
        <w:t>Q-4 through Q-0</w:t>
      </w:r>
      <w:r w:rsidR="00D10022">
        <w:rPr>
          <w:rFonts w:ascii="Times New Roman" w:hAnsi="Times New Roman" w:cs="Times New Roman"/>
          <w:sz w:val="24"/>
          <w:szCs w:val="24"/>
        </w:rPr>
        <w:t xml:space="preserve"> f</w:t>
      </w:r>
      <w:r w:rsidR="000469A1">
        <w:rPr>
          <w:rFonts w:ascii="Times New Roman" w:hAnsi="Times New Roman" w:cs="Times New Roman"/>
          <w:sz w:val="24"/>
          <w:szCs w:val="24"/>
        </w:rPr>
        <w:t xml:space="preserve">or the </w:t>
      </w:r>
      <w:r w:rsidR="00D10022">
        <w:rPr>
          <w:rFonts w:ascii="Times New Roman" w:hAnsi="Times New Roman" w:cs="Times New Roman"/>
          <w:sz w:val="24"/>
          <w:szCs w:val="24"/>
        </w:rPr>
        <w:t>lower-rated</w:t>
      </w:r>
      <w:r w:rsidR="000469A1">
        <w:rPr>
          <w:rFonts w:ascii="Times New Roman" w:hAnsi="Times New Roman" w:cs="Times New Roman"/>
          <w:sz w:val="24"/>
          <w:szCs w:val="24"/>
        </w:rPr>
        <w:t xml:space="preserve"> SG firms</w:t>
      </w:r>
      <w:r w:rsidR="00C32EBD">
        <w:rPr>
          <w:rFonts w:ascii="Times New Roman" w:hAnsi="Times New Roman" w:cs="Times New Roman"/>
          <w:sz w:val="24"/>
          <w:szCs w:val="24"/>
        </w:rPr>
        <w:t>,</w:t>
      </w:r>
      <w:r w:rsidR="00FB0623">
        <w:rPr>
          <w:rFonts w:ascii="Times New Roman" w:hAnsi="Times New Roman" w:cs="Times New Roman"/>
          <w:sz w:val="24"/>
          <w:szCs w:val="24"/>
        </w:rPr>
        <w:t xml:space="preserve"> but </w:t>
      </w:r>
      <w:r w:rsidR="00D10022">
        <w:rPr>
          <w:rFonts w:ascii="Times New Roman" w:hAnsi="Times New Roman" w:cs="Times New Roman"/>
          <w:sz w:val="24"/>
          <w:szCs w:val="24"/>
        </w:rPr>
        <w:t xml:space="preserve">this pattern is not nearly as pronounced for </w:t>
      </w:r>
      <w:r w:rsidR="00FB0623">
        <w:rPr>
          <w:rFonts w:ascii="Times New Roman" w:hAnsi="Times New Roman" w:cs="Times New Roman"/>
          <w:sz w:val="24"/>
          <w:szCs w:val="24"/>
        </w:rPr>
        <w:t>IG and higher-rate</w:t>
      </w:r>
      <w:r w:rsidR="008A4F2F">
        <w:rPr>
          <w:rFonts w:ascii="Times New Roman" w:hAnsi="Times New Roman" w:cs="Times New Roman"/>
          <w:sz w:val="24"/>
          <w:szCs w:val="24"/>
        </w:rPr>
        <w:t xml:space="preserve">d SG firms.  </w:t>
      </w:r>
      <w:r w:rsidR="00A16EBD">
        <w:rPr>
          <w:rFonts w:ascii="Times New Roman" w:hAnsi="Times New Roman" w:cs="Times New Roman"/>
          <w:sz w:val="24"/>
          <w:szCs w:val="24"/>
        </w:rPr>
        <w:t xml:space="preserve">These </w:t>
      </w:r>
      <w:r w:rsidR="00FB0623">
        <w:rPr>
          <w:rFonts w:ascii="Times New Roman" w:hAnsi="Times New Roman" w:cs="Times New Roman"/>
          <w:sz w:val="24"/>
          <w:szCs w:val="24"/>
        </w:rPr>
        <w:t xml:space="preserve">results show that </w:t>
      </w:r>
      <w:r w:rsidR="009A0EA6">
        <w:rPr>
          <w:rFonts w:ascii="Times New Roman" w:hAnsi="Times New Roman" w:cs="Times New Roman"/>
          <w:sz w:val="24"/>
          <w:szCs w:val="24"/>
        </w:rPr>
        <w:t xml:space="preserve">the </w:t>
      </w:r>
      <w:r w:rsidR="00FB0623">
        <w:rPr>
          <w:rFonts w:ascii="Times New Roman" w:hAnsi="Times New Roman" w:cs="Times New Roman"/>
          <w:sz w:val="24"/>
          <w:szCs w:val="24"/>
        </w:rPr>
        <w:t xml:space="preserve">patterns of net debt level </w:t>
      </w:r>
      <w:r w:rsidR="00A73D18">
        <w:rPr>
          <w:rFonts w:ascii="Times New Roman" w:hAnsi="Times New Roman" w:cs="Times New Roman"/>
          <w:sz w:val="24"/>
          <w:szCs w:val="24"/>
        </w:rPr>
        <w:t>m</w:t>
      </w:r>
      <w:r w:rsidR="009A0EA6">
        <w:rPr>
          <w:rFonts w:ascii="Times New Roman" w:hAnsi="Times New Roman" w:cs="Times New Roman"/>
          <w:sz w:val="24"/>
          <w:szCs w:val="24"/>
        </w:rPr>
        <w:t xml:space="preserve">ovement </w:t>
      </w:r>
      <w:r w:rsidR="00FB0623">
        <w:rPr>
          <w:rFonts w:ascii="Times New Roman" w:hAnsi="Times New Roman" w:cs="Times New Roman"/>
          <w:sz w:val="24"/>
          <w:szCs w:val="24"/>
        </w:rPr>
        <w:t>are</w:t>
      </w:r>
      <w:r w:rsidR="009A0EA6">
        <w:rPr>
          <w:rFonts w:ascii="Times New Roman" w:hAnsi="Times New Roman" w:cs="Times New Roman"/>
          <w:sz w:val="24"/>
          <w:szCs w:val="24"/>
        </w:rPr>
        <w:t xml:space="preserve"> more a function </w:t>
      </w:r>
      <w:r w:rsidR="0067505F">
        <w:rPr>
          <w:rFonts w:ascii="Times New Roman" w:hAnsi="Times New Roman" w:cs="Times New Roman"/>
          <w:sz w:val="24"/>
          <w:szCs w:val="24"/>
        </w:rPr>
        <w:t>of</w:t>
      </w:r>
      <w:r w:rsidR="00F27FD3">
        <w:rPr>
          <w:rFonts w:ascii="Times New Roman" w:hAnsi="Times New Roman" w:cs="Times New Roman"/>
          <w:sz w:val="24"/>
          <w:szCs w:val="24"/>
        </w:rPr>
        <w:t xml:space="preserve"> broad</w:t>
      </w:r>
      <w:r w:rsidR="009D2179">
        <w:rPr>
          <w:rFonts w:ascii="Times New Roman" w:hAnsi="Times New Roman" w:cs="Times New Roman"/>
          <w:sz w:val="24"/>
          <w:szCs w:val="24"/>
        </w:rPr>
        <w:t xml:space="preserve"> rating rather than notch status of the </w:t>
      </w:r>
      <w:r w:rsidR="00F27FD3">
        <w:rPr>
          <w:rFonts w:ascii="Times New Roman" w:hAnsi="Times New Roman" w:cs="Times New Roman"/>
          <w:sz w:val="24"/>
          <w:szCs w:val="24"/>
        </w:rPr>
        <w:t xml:space="preserve">broad </w:t>
      </w:r>
      <w:r w:rsidR="009D2179">
        <w:rPr>
          <w:rFonts w:ascii="Times New Roman" w:hAnsi="Times New Roman" w:cs="Times New Roman"/>
          <w:sz w:val="24"/>
          <w:szCs w:val="24"/>
        </w:rPr>
        <w:t>ratin</w:t>
      </w:r>
      <w:r w:rsidR="00AE0E3E">
        <w:rPr>
          <w:rFonts w:ascii="Times New Roman" w:hAnsi="Times New Roman" w:cs="Times New Roman"/>
          <w:sz w:val="24"/>
          <w:szCs w:val="24"/>
        </w:rPr>
        <w:t xml:space="preserve">g or the presence of prior CW announcements, suggesting that </w:t>
      </w:r>
      <w:r w:rsidR="00A16EBD">
        <w:rPr>
          <w:rFonts w:ascii="Times New Roman" w:hAnsi="Times New Roman" w:cs="Times New Roman"/>
          <w:sz w:val="24"/>
          <w:szCs w:val="24"/>
        </w:rPr>
        <w:t xml:space="preserve">net debt level </w:t>
      </w:r>
      <w:r w:rsidR="00A16EBD" w:rsidRPr="004E4AB2">
        <w:rPr>
          <w:rFonts w:ascii="Times New Roman" w:hAnsi="Times New Roman" w:cs="Times New Roman"/>
          <w:sz w:val="24"/>
          <w:szCs w:val="24"/>
        </w:rPr>
        <w:t xml:space="preserve">changes </w:t>
      </w:r>
      <w:r w:rsidR="00310370" w:rsidRPr="004E4AB2">
        <w:rPr>
          <w:rFonts w:ascii="Times New Roman" w:hAnsi="Times New Roman" w:cs="Times New Roman"/>
          <w:sz w:val="24"/>
          <w:szCs w:val="24"/>
        </w:rPr>
        <w:t xml:space="preserve">and reductions from long-term to short-term debt sources </w:t>
      </w:r>
      <w:r w:rsidR="00A16EBD" w:rsidRPr="004E4AB2">
        <w:rPr>
          <w:rFonts w:ascii="Times New Roman" w:hAnsi="Times New Roman" w:cs="Times New Roman"/>
          <w:sz w:val="24"/>
          <w:szCs w:val="24"/>
        </w:rPr>
        <w:t xml:space="preserve">measured PRE may </w:t>
      </w:r>
      <w:r w:rsidR="00AE0E3E" w:rsidRPr="004E4AB2">
        <w:rPr>
          <w:rFonts w:ascii="Times New Roman" w:hAnsi="Times New Roman" w:cs="Times New Roman"/>
          <w:sz w:val="24"/>
          <w:szCs w:val="24"/>
        </w:rPr>
        <w:t xml:space="preserve">serve to </w:t>
      </w:r>
      <w:r w:rsidR="00AE0E3E">
        <w:rPr>
          <w:rFonts w:ascii="Times New Roman" w:hAnsi="Times New Roman" w:cs="Times New Roman"/>
          <w:sz w:val="24"/>
          <w:szCs w:val="24"/>
        </w:rPr>
        <w:t>help motivate the S&amp;P review process rather than reflect a response to concerns communicated by S&amp;P to relatively high-debt level speculative firms.  Thus, these results challenge claims of S&amp;P providing unique and useful new information to the market.</w:t>
      </w:r>
    </w:p>
    <w:p w14:paraId="6D742953" w14:textId="537FB68C" w:rsidR="00184FFC" w:rsidRPr="00A051AF" w:rsidRDefault="00184FFC" w:rsidP="00A051AF">
      <w:pPr>
        <w:pStyle w:val="ListParagraph"/>
        <w:numPr>
          <w:ilvl w:val="0"/>
          <w:numId w:val="7"/>
        </w:numPr>
        <w:spacing w:after="0" w:line="240" w:lineRule="auto"/>
        <w:rPr>
          <w:rFonts w:ascii="Times New Roman" w:hAnsi="Times New Roman" w:cs="Times New Roman"/>
          <w:b/>
          <w:bCs/>
          <w:i/>
          <w:iCs/>
          <w:sz w:val="24"/>
          <w:szCs w:val="24"/>
        </w:rPr>
      </w:pPr>
      <w:r w:rsidRPr="00A051AF">
        <w:rPr>
          <w:rFonts w:ascii="Times New Roman" w:hAnsi="Times New Roman" w:cs="Times New Roman"/>
          <w:b/>
          <w:bCs/>
          <w:i/>
          <w:iCs/>
          <w:sz w:val="24"/>
          <w:szCs w:val="24"/>
        </w:rPr>
        <w:t xml:space="preserve">Broad Rating </w:t>
      </w:r>
      <w:r w:rsidR="003B5835" w:rsidRPr="00A051AF">
        <w:rPr>
          <w:rFonts w:ascii="Times New Roman" w:hAnsi="Times New Roman" w:cs="Times New Roman"/>
          <w:b/>
          <w:bCs/>
          <w:i/>
          <w:iCs/>
          <w:sz w:val="24"/>
          <w:szCs w:val="24"/>
        </w:rPr>
        <w:t xml:space="preserve">Linear </w:t>
      </w:r>
      <w:r w:rsidRPr="00A051AF">
        <w:rPr>
          <w:rFonts w:ascii="Times New Roman" w:hAnsi="Times New Roman" w:cs="Times New Roman"/>
          <w:b/>
          <w:bCs/>
          <w:i/>
          <w:iCs/>
          <w:sz w:val="24"/>
          <w:szCs w:val="24"/>
        </w:rPr>
        <w:t>Regression Results</w:t>
      </w:r>
    </w:p>
    <w:p w14:paraId="1EC926DF" w14:textId="25E50B0F" w:rsidR="00184FFC" w:rsidRDefault="00184FFC" w:rsidP="00040663">
      <w:pPr>
        <w:spacing w:after="0" w:line="240" w:lineRule="auto"/>
        <w:ind w:firstLine="360"/>
        <w:rPr>
          <w:rFonts w:ascii="Times New Roman" w:hAnsi="Times New Roman" w:cs="Times New Roman"/>
          <w:sz w:val="24"/>
          <w:szCs w:val="24"/>
        </w:rPr>
      </w:pPr>
    </w:p>
    <w:p w14:paraId="7897E85D" w14:textId="46454CEE" w:rsidR="007F3B6E" w:rsidRDefault="00184FFC" w:rsidP="00C32EBD">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In this section</w:t>
      </w:r>
      <w:r w:rsidR="0053343F">
        <w:rPr>
          <w:rFonts w:ascii="Times New Roman" w:hAnsi="Times New Roman" w:cs="Times New Roman"/>
          <w:sz w:val="24"/>
          <w:szCs w:val="24"/>
        </w:rPr>
        <w:t xml:space="preserve"> using quarterly balance sheet items from </w:t>
      </w:r>
      <w:proofErr w:type="spellStart"/>
      <w:r w:rsidR="0053343F">
        <w:rPr>
          <w:rFonts w:ascii="Times New Roman" w:hAnsi="Times New Roman" w:cs="Times New Roman"/>
          <w:sz w:val="24"/>
          <w:szCs w:val="24"/>
        </w:rPr>
        <w:t>Compustat</w:t>
      </w:r>
      <w:proofErr w:type="spellEnd"/>
      <w:r>
        <w:rPr>
          <w:rFonts w:ascii="Times New Roman" w:hAnsi="Times New Roman" w:cs="Times New Roman"/>
          <w:sz w:val="24"/>
          <w:szCs w:val="24"/>
        </w:rPr>
        <w:t xml:space="preserve">, we </w:t>
      </w:r>
      <w:r w:rsidR="0053343F">
        <w:rPr>
          <w:rFonts w:ascii="Times New Roman" w:hAnsi="Times New Roman" w:cs="Times New Roman"/>
          <w:sz w:val="24"/>
          <w:szCs w:val="24"/>
        </w:rPr>
        <w:t xml:space="preserve">initially </w:t>
      </w:r>
      <w:r>
        <w:rPr>
          <w:rFonts w:ascii="Times New Roman" w:hAnsi="Times New Roman" w:cs="Times New Roman"/>
          <w:sz w:val="24"/>
          <w:szCs w:val="24"/>
        </w:rPr>
        <w:t xml:space="preserve">investigate the relationship between net distribution </w:t>
      </w:r>
      <w:r w:rsidR="00B96892">
        <w:rPr>
          <w:rFonts w:ascii="Times New Roman" w:hAnsi="Times New Roman" w:cs="Times New Roman"/>
          <w:sz w:val="24"/>
          <w:szCs w:val="24"/>
        </w:rPr>
        <w:t xml:space="preserve">and the </w:t>
      </w:r>
      <w:r w:rsidR="0053343F">
        <w:rPr>
          <w:rFonts w:ascii="Times New Roman" w:hAnsi="Times New Roman" w:cs="Times New Roman"/>
          <w:sz w:val="24"/>
          <w:szCs w:val="24"/>
        </w:rPr>
        <w:t xml:space="preserve">same independent variables used by </w:t>
      </w:r>
      <w:proofErr w:type="spellStart"/>
      <w:r w:rsidR="0053343F">
        <w:rPr>
          <w:rFonts w:ascii="Times New Roman" w:hAnsi="Times New Roman" w:cs="Times New Roman"/>
          <w:sz w:val="24"/>
          <w:szCs w:val="24"/>
        </w:rPr>
        <w:t>Kisgen</w:t>
      </w:r>
      <w:proofErr w:type="spellEnd"/>
      <w:r w:rsidR="0053343F">
        <w:rPr>
          <w:rFonts w:ascii="Times New Roman" w:hAnsi="Times New Roman" w:cs="Times New Roman"/>
          <w:sz w:val="24"/>
          <w:szCs w:val="24"/>
        </w:rPr>
        <w:t xml:space="preserve"> (2006)</w:t>
      </w:r>
      <w:r w:rsidR="00B96892">
        <w:rPr>
          <w:rFonts w:ascii="Times New Roman" w:hAnsi="Times New Roman" w:cs="Times New Roman"/>
          <w:sz w:val="24"/>
          <w:szCs w:val="24"/>
        </w:rPr>
        <w:t xml:space="preserve"> in his analysis using annual data</w:t>
      </w:r>
      <w:r w:rsidR="0053343F">
        <w:rPr>
          <w:rFonts w:ascii="Times New Roman" w:hAnsi="Times New Roman" w:cs="Times New Roman"/>
          <w:sz w:val="24"/>
          <w:szCs w:val="24"/>
        </w:rPr>
        <w:t xml:space="preserve">.  </w:t>
      </w:r>
      <w:r w:rsidR="00B31EEC">
        <w:rPr>
          <w:rFonts w:ascii="Times New Roman" w:hAnsi="Times New Roman" w:cs="Times New Roman"/>
          <w:sz w:val="24"/>
          <w:szCs w:val="24"/>
        </w:rPr>
        <w:t xml:space="preserve">Net distribution </w:t>
      </w:r>
      <w:r w:rsidR="00D11C83">
        <w:rPr>
          <w:rFonts w:ascii="Times New Roman" w:hAnsi="Times New Roman" w:cs="Times New Roman"/>
          <w:sz w:val="24"/>
          <w:szCs w:val="24"/>
        </w:rPr>
        <w:t>(</w:t>
      </w:r>
      <w:proofErr w:type="spellStart"/>
      <w:r w:rsidR="00D11C83" w:rsidRPr="00502B81">
        <w:rPr>
          <w:rFonts w:ascii="Times New Roman" w:hAnsi="Times New Roman" w:cs="Times New Roman"/>
          <w:i/>
          <w:iCs/>
          <w:sz w:val="24"/>
          <w:szCs w:val="24"/>
        </w:rPr>
        <w:t>NetDIss</w:t>
      </w:r>
      <w:proofErr w:type="spellEnd"/>
      <w:r w:rsidR="00D11C83">
        <w:rPr>
          <w:rFonts w:ascii="Times New Roman" w:hAnsi="Times New Roman" w:cs="Times New Roman"/>
          <w:sz w:val="24"/>
          <w:szCs w:val="24"/>
        </w:rPr>
        <w:t xml:space="preserve">) </w:t>
      </w:r>
      <w:r w:rsidR="00B31EEC">
        <w:rPr>
          <w:rFonts w:ascii="Times New Roman" w:hAnsi="Times New Roman" w:cs="Times New Roman"/>
          <w:sz w:val="24"/>
          <w:szCs w:val="24"/>
        </w:rPr>
        <w:t>as the dependent variable</w:t>
      </w:r>
      <w:r w:rsidR="00D11C83">
        <w:rPr>
          <w:rFonts w:ascii="Times New Roman" w:hAnsi="Times New Roman" w:cs="Times New Roman"/>
          <w:sz w:val="24"/>
          <w:szCs w:val="24"/>
        </w:rPr>
        <w:t xml:space="preserve">, measured as the change in total debt less the change in earning-adjusted total equity standardized by total assets </w:t>
      </w:r>
      <w:r w:rsidR="00D11C83" w:rsidRPr="00502B81">
        <w:rPr>
          <w:rFonts w:ascii="Times New Roman" w:hAnsi="Times New Roman" w:cs="Times New Roman"/>
          <w:i/>
          <w:iCs/>
          <w:sz w:val="24"/>
          <w:szCs w:val="24"/>
        </w:rPr>
        <w:t>(ΔTD-ΔT</w:t>
      </w:r>
      <w:r w:rsidR="00BA29F3" w:rsidRPr="00502B81">
        <w:rPr>
          <w:rFonts w:ascii="Times New Roman" w:hAnsi="Times New Roman" w:cs="Times New Roman"/>
          <w:i/>
          <w:iCs/>
          <w:sz w:val="24"/>
          <w:szCs w:val="24"/>
        </w:rPr>
        <w:t>E</w:t>
      </w:r>
      <w:r w:rsidR="00BA29F3" w:rsidRPr="00502B81">
        <w:rPr>
          <w:rFonts w:ascii="Times New Roman" w:hAnsi="Times New Roman" w:cs="Times New Roman"/>
          <w:i/>
          <w:iCs/>
          <w:sz w:val="24"/>
          <w:szCs w:val="24"/>
          <w:vertAlign w:val="subscript"/>
        </w:rPr>
        <w:t>EA</w:t>
      </w:r>
      <w:r w:rsidR="00D11C83" w:rsidRPr="00502B81">
        <w:rPr>
          <w:rFonts w:ascii="Times New Roman" w:hAnsi="Times New Roman" w:cs="Times New Roman"/>
          <w:i/>
          <w:iCs/>
          <w:sz w:val="24"/>
          <w:szCs w:val="24"/>
        </w:rPr>
        <w:t>)/TA</w:t>
      </w:r>
      <w:r w:rsidR="00D11C83">
        <w:rPr>
          <w:rFonts w:ascii="Times New Roman" w:hAnsi="Times New Roman" w:cs="Times New Roman"/>
          <w:sz w:val="24"/>
          <w:szCs w:val="24"/>
        </w:rPr>
        <w:t xml:space="preserve">, </w:t>
      </w:r>
      <w:r w:rsidR="00B31EEC">
        <w:rPr>
          <w:rFonts w:ascii="Times New Roman" w:hAnsi="Times New Roman" w:cs="Times New Roman"/>
          <w:sz w:val="24"/>
          <w:szCs w:val="24"/>
        </w:rPr>
        <w:t>is not restricted or limited by s</w:t>
      </w:r>
      <w:r w:rsidR="002B6FEE">
        <w:rPr>
          <w:rFonts w:ascii="Times New Roman" w:hAnsi="Times New Roman" w:cs="Times New Roman"/>
          <w:sz w:val="24"/>
          <w:szCs w:val="24"/>
        </w:rPr>
        <w:t xml:space="preserve">ize constraints as </w:t>
      </w:r>
      <w:proofErr w:type="spellStart"/>
      <w:r w:rsidR="002B6FEE">
        <w:rPr>
          <w:rFonts w:ascii="Times New Roman" w:hAnsi="Times New Roman" w:cs="Times New Roman"/>
          <w:sz w:val="24"/>
          <w:szCs w:val="24"/>
        </w:rPr>
        <w:t>Kisgen</w:t>
      </w:r>
      <w:proofErr w:type="spellEnd"/>
      <w:r w:rsidR="00B31EEC">
        <w:rPr>
          <w:rFonts w:ascii="Times New Roman" w:hAnsi="Times New Roman" w:cs="Times New Roman"/>
          <w:sz w:val="24"/>
          <w:szCs w:val="24"/>
        </w:rPr>
        <w:t xml:space="preserve"> found that his results </w:t>
      </w:r>
      <w:r w:rsidR="00067426">
        <w:rPr>
          <w:rFonts w:ascii="Times New Roman" w:hAnsi="Times New Roman" w:cs="Times New Roman"/>
          <w:sz w:val="24"/>
          <w:szCs w:val="24"/>
        </w:rPr>
        <w:t>a</w:t>
      </w:r>
      <w:r w:rsidR="00B31EEC">
        <w:rPr>
          <w:rFonts w:ascii="Times New Roman" w:hAnsi="Times New Roman" w:cs="Times New Roman"/>
          <w:sz w:val="24"/>
          <w:szCs w:val="24"/>
        </w:rPr>
        <w:t>re robust to whether small firms are well represented or not.</w:t>
      </w:r>
      <w:r w:rsidR="00D11C83">
        <w:rPr>
          <w:rFonts w:ascii="Times New Roman" w:hAnsi="Times New Roman" w:cs="Times New Roman"/>
          <w:sz w:val="24"/>
          <w:szCs w:val="24"/>
        </w:rPr>
        <w:t xml:space="preserve">  </w:t>
      </w:r>
      <w:r w:rsidR="00995EBA">
        <w:rPr>
          <w:rFonts w:ascii="Times New Roman" w:hAnsi="Times New Roman" w:cs="Times New Roman"/>
          <w:sz w:val="24"/>
          <w:szCs w:val="24"/>
        </w:rPr>
        <w:t xml:space="preserve">In our regressions, </w:t>
      </w:r>
      <w:r w:rsidR="00995EBA" w:rsidRPr="00502B81">
        <w:rPr>
          <w:rFonts w:ascii="Times New Roman" w:hAnsi="Times New Roman" w:cs="Times New Roman"/>
          <w:i/>
          <w:iCs/>
          <w:sz w:val="24"/>
          <w:szCs w:val="24"/>
        </w:rPr>
        <w:t>Δ</w:t>
      </w:r>
      <w:r w:rsidR="00E26199" w:rsidRPr="00502B81">
        <w:rPr>
          <w:rFonts w:ascii="Times New Roman" w:hAnsi="Times New Roman" w:cs="Times New Roman"/>
          <w:i/>
          <w:iCs/>
          <w:sz w:val="24"/>
          <w:szCs w:val="24"/>
        </w:rPr>
        <w:t>TE</w:t>
      </w:r>
      <w:r w:rsidR="00E26199" w:rsidRPr="00502B81">
        <w:rPr>
          <w:rFonts w:ascii="Times New Roman" w:hAnsi="Times New Roman" w:cs="Times New Roman"/>
          <w:i/>
          <w:iCs/>
          <w:sz w:val="24"/>
          <w:szCs w:val="24"/>
          <w:vertAlign w:val="subscript"/>
        </w:rPr>
        <w:t>EA</w:t>
      </w:r>
      <w:r w:rsidR="00995EBA">
        <w:rPr>
          <w:rFonts w:ascii="Times New Roman" w:hAnsi="Times New Roman" w:cs="Times New Roman"/>
          <w:sz w:val="24"/>
          <w:szCs w:val="24"/>
        </w:rPr>
        <w:t xml:space="preserve"> is taken to represent the earnings-adjusted change in </w:t>
      </w:r>
      <w:r w:rsidR="00EA63E9">
        <w:rPr>
          <w:rFonts w:ascii="Times New Roman" w:hAnsi="Times New Roman" w:cs="Times New Roman"/>
          <w:sz w:val="24"/>
          <w:szCs w:val="24"/>
        </w:rPr>
        <w:t xml:space="preserve">total </w:t>
      </w:r>
      <w:r w:rsidR="00995EBA">
        <w:rPr>
          <w:rFonts w:ascii="Times New Roman" w:hAnsi="Times New Roman" w:cs="Times New Roman"/>
          <w:sz w:val="24"/>
          <w:szCs w:val="24"/>
        </w:rPr>
        <w:t xml:space="preserve">equity </w:t>
      </w:r>
      <w:r w:rsidR="00E26199">
        <w:rPr>
          <w:rFonts w:ascii="Times New Roman" w:hAnsi="Times New Roman" w:cs="Times New Roman"/>
          <w:sz w:val="24"/>
          <w:szCs w:val="24"/>
        </w:rPr>
        <w:t xml:space="preserve">where </w:t>
      </w:r>
      <w:r w:rsidR="00EA63E9">
        <w:rPr>
          <w:rFonts w:ascii="Times New Roman" w:hAnsi="Times New Roman" w:cs="Times New Roman"/>
          <w:sz w:val="24"/>
          <w:szCs w:val="24"/>
        </w:rPr>
        <w:t xml:space="preserve">quarterly </w:t>
      </w:r>
      <w:r w:rsidR="00E26199">
        <w:rPr>
          <w:rFonts w:ascii="Times New Roman" w:hAnsi="Times New Roman" w:cs="Times New Roman"/>
          <w:sz w:val="24"/>
          <w:szCs w:val="24"/>
        </w:rPr>
        <w:t xml:space="preserve">retained earnings </w:t>
      </w:r>
      <w:r w:rsidR="009C33D0">
        <w:rPr>
          <w:rFonts w:ascii="Times New Roman" w:hAnsi="Times New Roman" w:cs="Times New Roman"/>
          <w:sz w:val="24"/>
          <w:szCs w:val="24"/>
        </w:rPr>
        <w:t>are</w:t>
      </w:r>
      <w:r w:rsidR="00E26199">
        <w:rPr>
          <w:rFonts w:ascii="Times New Roman" w:hAnsi="Times New Roman" w:cs="Times New Roman"/>
          <w:sz w:val="24"/>
          <w:szCs w:val="24"/>
        </w:rPr>
        <w:t xml:space="preserve"> subtracted (if positive) from the change in </w:t>
      </w:r>
      <w:r w:rsidR="00EA63E9">
        <w:rPr>
          <w:rFonts w:ascii="Times New Roman" w:hAnsi="Times New Roman" w:cs="Times New Roman"/>
          <w:sz w:val="24"/>
          <w:szCs w:val="24"/>
        </w:rPr>
        <w:t xml:space="preserve">quarterly </w:t>
      </w:r>
      <w:r w:rsidR="00E26199">
        <w:rPr>
          <w:rFonts w:ascii="Times New Roman" w:hAnsi="Times New Roman" w:cs="Times New Roman"/>
          <w:sz w:val="24"/>
          <w:szCs w:val="24"/>
        </w:rPr>
        <w:t>total equity</w:t>
      </w:r>
      <w:r w:rsidR="00995EBA">
        <w:rPr>
          <w:rFonts w:ascii="Times New Roman" w:hAnsi="Times New Roman" w:cs="Times New Roman"/>
          <w:sz w:val="24"/>
          <w:szCs w:val="24"/>
        </w:rPr>
        <w:t>.</w:t>
      </w:r>
      <w:r w:rsidR="006E6ED3">
        <w:rPr>
          <w:rFonts w:ascii="Times New Roman" w:hAnsi="Times New Roman" w:cs="Times New Roman"/>
          <w:sz w:val="24"/>
          <w:szCs w:val="24"/>
        </w:rPr>
        <w:t xml:space="preserve">  </w:t>
      </w:r>
      <w:r w:rsidR="006E6ED3" w:rsidRPr="00502B81">
        <w:rPr>
          <w:rFonts w:ascii="Times New Roman" w:hAnsi="Times New Roman" w:cs="Times New Roman"/>
          <w:i/>
          <w:iCs/>
          <w:sz w:val="24"/>
          <w:szCs w:val="24"/>
        </w:rPr>
        <w:t>ΔTD-ΔTE</w:t>
      </w:r>
      <w:r w:rsidR="006E6ED3" w:rsidRPr="00502B81">
        <w:rPr>
          <w:rFonts w:ascii="Times New Roman" w:hAnsi="Times New Roman" w:cs="Times New Roman"/>
          <w:i/>
          <w:iCs/>
          <w:sz w:val="24"/>
          <w:szCs w:val="24"/>
          <w:vertAlign w:val="subscript"/>
        </w:rPr>
        <w:t>EA</w:t>
      </w:r>
      <w:r w:rsidR="006E6ED3">
        <w:rPr>
          <w:rFonts w:ascii="Times New Roman" w:hAnsi="Times New Roman" w:cs="Times New Roman"/>
          <w:sz w:val="24"/>
          <w:szCs w:val="24"/>
        </w:rPr>
        <w:t xml:space="preserve"> </w:t>
      </w:r>
      <w:r w:rsidR="00FD4168">
        <w:rPr>
          <w:rFonts w:ascii="Times New Roman" w:hAnsi="Times New Roman" w:cs="Times New Roman"/>
          <w:sz w:val="24"/>
          <w:szCs w:val="24"/>
        </w:rPr>
        <w:t>is</w:t>
      </w:r>
      <w:r w:rsidR="006E6ED3">
        <w:rPr>
          <w:rFonts w:ascii="Times New Roman" w:hAnsi="Times New Roman" w:cs="Times New Roman"/>
          <w:sz w:val="24"/>
          <w:szCs w:val="24"/>
        </w:rPr>
        <w:t xml:space="preserve"> measured over the quarter and scaled by quarter-beginning total assets.  </w:t>
      </w:r>
      <w:r w:rsidR="00D11C83">
        <w:rPr>
          <w:rFonts w:ascii="Times New Roman" w:hAnsi="Times New Roman" w:cs="Times New Roman"/>
          <w:sz w:val="24"/>
          <w:szCs w:val="24"/>
        </w:rPr>
        <w:t xml:space="preserve">The  independent variables analyzed </w:t>
      </w:r>
      <w:r w:rsidR="00EB62CD">
        <w:rPr>
          <w:rFonts w:ascii="Times New Roman" w:hAnsi="Times New Roman" w:cs="Times New Roman"/>
          <w:sz w:val="24"/>
          <w:szCs w:val="24"/>
        </w:rPr>
        <w:t xml:space="preserve">in Table 5 </w:t>
      </w:r>
      <w:r w:rsidR="00D357E3">
        <w:rPr>
          <w:rFonts w:ascii="Times New Roman" w:hAnsi="Times New Roman" w:cs="Times New Roman"/>
          <w:sz w:val="24"/>
          <w:szCs w:val="24"/>
        </w:rPr>
        <w:t>focus</w:t>
      </w:r>
      <w:r w:rsidR="00A329BE">
        <w:rPr>
          <w:rFonts w:ascii="Times New Roman" w:hAnsi="Times New Roman" w:cs="Times New Roman"/>
          <w:sz w:val="24"/>
          <w:szCs w:val="24"/>
        </w:rPr>
        <w:t>ing</w:t>
      </w:r>
      <w:r w:rsidR="00D357E3">
        <w:rPr>
          <w:rFonts w:ascii="Times New Roman" w:hAnsi="Times New Roman" w:cs="Times New Roman"/>
          <w:sz w:val="24"/>
          <w:szCs w:val="24"/>
        </w:rPr>
        <w:t xml:space="preserve"> on firms </w:t>
      </w:r>
      <w:r w:rsidR="001E6C51">
        <w:rPr>
          <w:rFonts w:ascii="Times New Roman" w:hAnsi="Times New Roman" w:cs="Times New Roman"/>
          <w:sz w:val="24"/>
          <w:szCs w:val="24"/>
        </w:rPr>
        <w:t xml:space="preserve">with no </w:t>
      </w:r>
      <w:r w:rsidR="00D357E3">
        <w:rPr>
          <w:rFonts w:ascii="Times New Roman" w:hAnsi="Times New Roman" w:cs="Times New Roman"/>
          <w:sz w:val="24"/>
          <w:szCs w:val="24"/>
        </w:rPr>
        <w:t xml:space="preserve">prior </w:t>
      </w:r>
      <w:r w:rsidR="0016631A">
        <w:rPr>
          <w:rFonts w:ascii="Times New Roman" w:hAnsi="Times New Roman" w:cs="Times New Roman"/>
          <w:sz w:val="24"/>
          <w:szCs w:val="24"/>
        </w:rPr>
        <w:t>CW announcements</w:t>
      </w:r>
      <w:r w:rsidR="00D357E3">
        <w:rPr>
          <w:rFonts w:ascii="Times New Roman" w:hAnsi="Times New Roman" w:cs="Times New Roman"/>
          <w:sz w:val="24"/>
          <w:szCs w:val="24"/>
        </w:rPr>
        <w:t xml:space="preserve"> </w:t>
      </w:r>
      <w:r w:rsidR="00D11C83">
        <w:rPr>
          <w:rFonts w:ascii="Times New Roman" w:hAnsi="Times New Roman" w:cs="Times New Roman"/>
          <w:sz w:val="24"/>
          <w:szCs w:val="24"/>
        </w:rPr>
        <w:t xml:space="preserve">include dummy variables </w:t>
      </w:r>
      <w:proofErr w:type="spellStart"/>
      <w:r w:rsidR="00D11C83" w:rsidRPr="00502B81">
        <w:rPr>
          <w:rFonts w:ascii="Times New Roman" w:hAnsi="Times New Roman" w:cs="Times New Roman"/>
          <w:i/>
          <w:iCs/>
          <w:sz w:val="24"/>
          <w:szCs w:val="24"/>
        </w:rPr>
        <w:t>CRp</w:t>
      </w:r>
      <w:proofErr w:type="spellEnd"/>
      <w:r w:rsidR="00D11C83">
        <w:rPr>
          <w:rFonts w:ascii="Times New Roman" w:hAnsi="Times New Roman" w:cs="Times New Roman"/>
          <w:sz w:val="24"/>
          <w:szCs w:val="24"/>
        </w:rPr>
        <w:t xml:space="preserve"> and </w:t>
      </w:r>
      <w:proofErr w:type="spellStart"/>
      <w:r w:rsidR="00D11C83" w:rsidRPr="00502B81">
        <w:rPr>
          <w:rFonts w:ascii="Times New Roman" w:hAnsi="Times New Roman" w:cs="Times New Roman"/>
          <w:i/>
          <w:iCs/>
          <w:sz w:val="24"/>
          <w:szCs w:val="24"/>
        </w:rPr>
        <w:t>CRm</w:t>
      </w:r>
      <w:proofErr w:type="spellEnd"/>
      <w:r w:rsidR="00D11C83">
        <w:rPr>
          <w:rFonts w:ascii="Times New Roman" w:hAnsi="Times New Roman" w:cs="Times New Roman"/>
          <w:sz w:val="24"/>
          <w:szCs w:val="24"/>
        </w:rPr>
        <w:t xml:space="preserve"> taking on the value of one when the firm holds a notch rating of “+” or “-,” respectively, </w:t>
      </w:r>
      <w:r w:rsidR="00A329BE">
        <w:rPr>
          <w:rFonts w:ascii="Times New Roman" w:hAnsi="Times New Roman" w:cs="Times New Roman"/>
          <w:sz w:val="24"/>
          <w:szCs w:val="24"/>
        </w:rPr>
        <w:t xml:space="preserve">control variables for </w:t>
      </w:r>
      <w:r w:rsidR="00D11C83">
        <w:rPr>
          <w:rFonts w:ascii="Times New Roman" w:hAnsi="Times New Roman" w:cs="Times New Roman"/>
          <w:sz w:val="24"/>
          <w:szCs w:val="24"/>
        </w:rPr>
        <w:t>leverage (</w:t>
      </w:r>
      <w:r w:rsidR="00EE318B" w:rsidRPr="00EE318B">
        <w:rPr>
          <w:rFonts w:ascii="Times New Roman" w:hAnsi="Times New Roman" w:cs="Times New Roman"/>
          <w:i/>
          <w:iCs/>
          <w:sz w:val="24"/>
          <w:szCs w:val="24"/>
        </w:rPr>
        <w:t>TD/TA</w:t>
      </w:r>
      <w:r w:rsidR="00D11C83">
        <w:rPr>
          <w:rFonts w:ascii="Times New Roman" w:hAnsi="Times New Roman" w:cs="Times New Roman"/>
          <w:sz w:val="24"/>
          <w:szCs w:val="24"/>
        </w:rPr>
        <w:t>), profitability (</w:t>
      </w:r>
      <w:r w:rsidR="00D11C83" w:rsidRPr="00502B81">
        <w:rPr>
          <w:rFonts w:ascii="Times New Roman" w:hAnsi="Times New Roman" w:cs="Times New Roman"/>
          <w:i/>
          <w:iCs/>
          <w:sz w:val="24"/>
          <w:szCs w:val="24"/>
        </w:rPr>
        <w:t>EBITDA/TA</w:t>
      </w:r>
      <w:r w:rsidR="00D11C83">
        <w:rPr>
          <w:rFonts w:ascii="Times New Roman" w:hAnsi="Times New Roman" w:cs="Times New Roman"/>
          <w:sz w:val="24"/>
          <w:szCs w:val="24"/>
        </w:rPr>
        <w:t xml:space="preserve">) and </w:t>
      </w:r>
      <w:r w:rsidR="00D11C83">
        <w:rPr>
          <w:rFonts w:ascii="Times New Roman" w:hAnsi="Times New Roman" w:cs="Times New Roman"/>
          <w:sz w:val="24"/>
          <w:szCs w:val="24"/>
        </w:rPr>
        <w:lastRenderedPageBreak/>
        <w:t>size (</w:t>
      </w:r>
      <w:r w:rsidR="00D11C83" w:rsidRPr="00502B81">
        <w:rPr>
          <w:rFonts w:ascii="Times New Roman" w:hAnsi="Times New Roman" w:cs="Times New Roman"/>
          <w:i/>
          <w:iCs/>
          <w:sz w:val="24"/>
          <w:szCs w:val="24"/>
        </w:rPr>
        <w:t>ln(Sales)</w:t>
      </w:r>
      <w:r w:rsidR="007F2748">
        <w:rPr>
          <w:rFonts w:ascii="Times New Roman" w:hAnsi="Times New Roman" w:cs="Times New Roman"/>
          <w:sz w:val="24"/>
          <w:szCs w:val="24"/>
        </w:rPr>
        <w:t>)</w:t>
      </w:r>
      <w:r w:rsidR="00A329BE">
        <w:rPr>
          <w:rFonts w:ascii="Times New Roman" w:hAnsi="Times New Roman" w:cs="Times New Roman"/>
          <w:sz w:val="24"/>
          <w:szCs w:val="24"/>
        </w:rPr>
        <w:t xml:space="preserve">, and finally </w:t>
      </w:r>
      <w:r w:rsidR="000A5672" w:rsidRPr="000A5672">
        <w:rPr>
          <w:rFonts w:ascii="Times New Roman" w:hAnsi="Times New Roman" w:cs="Times New Roman"/>
          <w:i/>
          <w:iCs/>
          <w:sz w:val="24"/>
          <w:szCs w:val="24"/>
        </w:rPr>
        <w:t>ΔSP</w:t>
      </w:r>
      <w:r w:rsidR="000A5672" w:rsidRPr="000A5672">
        <w:rPr>
          <w:rFonts w:ascii="Times New Roman" w:hAnsi="Times New Roman" w:cs="Times New Roman"/>
          <w:iCs/>
          <w:sz w:val="24"/>
          <w:szCs w:val="24"/>
        </w:rPr>
        <w:t xml:space="preserve"> to represent the direction and magnitude of rating change.</w:t>
      </w:r>
      <w:r w:rsidR="00CE5621">
        <w:rPr>
          <w:rStyle w:val="FootnoteReference"/>
          <w:rFonts w:ascii="Times New Roman" w:hAnsi="Times New Roman" w:cs="Times New Roman"/>
          <w:iCs/>
          <w:sz w:val="24"/>
          <w:szCs w:val="24"/>
        </w:rPr>
        <w:footnoteReference w:id="11"/>
      </w:r>
      <w:r w:rsidR="00CE5621">
        <w:rPr>
          <w:rFonts w:ascii="Times New Roman" w:hAnsi="Times New Roman" w:cs="Times New Roman"/>
          <w:iCs/>
          <w:sz w:val="24"/>
          <w:szCs w:val="24"/>
        </w:rPr>
        <w:t xml:space="preserve">  </w:t>
      </w:r>
      <w:r w:rsidR="00A77EBA" w:rsidRPr="001E2D9F">
        <w:rPr>
          <w:rFonts w:ascii="Times New Roman" w:hAnsi="Times New Roman" w:cs="Times New Roman"/>
          <w:i/>
          <w:iCs/>
          <w:sz w:val="24"/>
          <w:szCs w:val="24"/>
        </w:rPr>
        <w:t>ΔSP</w:t>
      </w:r>
      <w:r w:rsidR="00A77EBA">
        <w:rPr>
          <w:rFonts w:ascii="Times New Roman" w:hAnsi="Times New Roman" w:cs="Times New Roman"/>
          <w:sz w:val="24"/>
          <w:szCs w:val="24"/>
        </w:rPr>
        <w:t xml:space="preserve"> is calculated at Q0 while all other </w:t>
      </w:r>
      <w:r w:rsidR="00836492">
        <w:rPr>
          <w:rFonts w:ascii="Times New Roman" w:hAnsi="Times New Roman" w:cs="Times New Roman"/>
          <w:sz w:val="24"/>
          <w:szCs w:val="24"/>
        </w:rPr>
        <w:t>explanatory variables are measured at the beginning of each quarter</w:t>
      </w:r>
      <w:r w:rsidR="00C214A4">
        <w:rPr>
          <w:rFonts w:ascii="Times New Roman" w:hAnsi="Times New Roman" w:cs="Times New Roman"/>
          <w:sz w:val="24"/>
          <w:szCs w:val="24"/>
        </w:rPr>
        <w:t xml:space="preserve"> surrounding Q0</w:t>
      </w:r>
      <w:r w:rsidR="00836492">
        <w:rPr>
          <w:rFonts w:ascii="Times New Roman" w:hAnsi="Times New Roman" w:cs="Times New Roman"/>
          <w:sz w:val="24"/>
          <w:szCs w:val="24"/>
        </w:rPr>
        <w:t xml:space="preserve">.  </w:t>
      </w:r>
    </w:p>
    <w:p w14:paraId="4F410C56" w14:textId="554E8D08" w:rsidR="00932EA0" w:rsidRDefault="00836492" w:rsidP="00C32EBD">
      <w:pPr>
        <w:spacing w:after="0" w:line="360" w:lineRule="auto"/>
        <w:ind w:firstLine="360"/>
        <w:rPr>
          <w:rFonts w:ascii="Times New Roman" w:hAnsi="Times New Roman" w:cs="Times New Roman"/>
          <w:sz w:val="24"/>
          <w:szCs w:val="24"/>
        </w:rPr>
      </w:pPr>
      <w:bookmarkStart w:id="12" w:name="_Hlk46410145"/>
      <w:r>
        <w:rPr>
          <w:rFonts w:ascii="Times New Roman" w:hAnsi="Times New Roman" w:cs="Times New Roman"/>
          <w:sz w:val="24"/>
          <w:szCs w:val="24"/>
        </w:rPr>
        <w:t>In our regressions in Panel A</w:t>
      </w:r>
      <w:r w:rsidR="00C43D83">
        <w:rPr>
          <w:rFonts w:ascii="Times New Roman" w:hAnsi="Times New Roman" w:cs="Times New Roman"/>
          <w:sz w:val="24"/>
          <w:szCs w:val="24"/>
        </w:rPr>
        <w:t xml:space="preserve"> </w:t>
      </w:r>
      <w:r w:rsidR="00932EA0">
        <w:rPr>
          <w:rFonts w:ascii="Times New Roman" w:hAnsi="Times New Roman" w:cs="Times New Roman"/>
          <w:sz w:val="24"/>
          <w:szCs w:val="24"/>
        </w:rPr>
        <w:t xml:space="preserve">(B) </w:t>
      </w:r>
      <w:r w:rsidR="00C43D83">
        <w:rPr>
          <w:rFonts w:ascii="Times New Roman" w:hAnsi="Times New Roman" w:cs="Times New Roman"/>
          <w:sz w:val="24"/>
          <w:szCs w:val="24"/>
        </w:rPr>
        <w:t xml:space="preserve">focusing on firms </w:t>
      </w:r>
      <w:r w:rsidR="00932EA0">
        <w:rPr>
          <w:rFonts w:ascii="Times New Roman" w:hAnsi="Times New Roman" w:cs="Times New Roman"/>
          <w:sz w:val="24"/>
          <w:szCs w:val="24"/>
        </w:rPr>
        <w:t xml:space="preserve">without (with) CW announcements, </w:t>
      </w:r>
      <w:r w:rsidR="00C43D83">
        <w:rPr>
          <w:rFonts w:ascii="Times New Roman" w:hAnsi="Times New Roman" w:cs="Times New Roman"/>
          <w:sz w:val="24"/>
          <w:szCs w:val="24"/>
        </w:rPr>
        <w:t xml:space="preserve">the signs on the control variable coefficients for leverage, profitability, and sales are </w:t>
      </w:r>
      <w:r w:rsidR="00932EA0">
        <w:rPr>
          <w:rFonts w:ascii="Times New Roman" w:hAnsi="Times New Roman" w:cs="Times New Roman"/>
          <w:sz w:val="24"/>
          <w:szCs w:val="24"/>
        </w:rPr>
        <w:t xml:space="preserve">all </w:t>
      </w:r>
      <w:r w:rsidR="00C43D83">
        <w:rPr>
          <w:rFonts w:ascii="Times New Roman" w:hAnsi="Times New Roman" w:cs="Times New Roman"/>
          <w:sz w:val="24"/>
          <w:szCs w:val="24"/>
        </w:rPr>
        <w:t xml:space="preserve">consistent with the results of </w:t>
      </w:r>
      <w:proofErr w:type="spellStart"/>
      <w:r w:rsidR="00C43D83">
        <w:rPr>
          <w:rFonts w:ascii="Times New Roman" w:hAnsi="Times New Roman" w:cs="Times New Roman"/>
          <w:sz w:val="24"/>
          <w:szCs w:val="24"/>
        </w:rPr>
        <w:t>Kisgen</w:t>
      </w:r>
      <w:proofErr w:type="spellEnd"/>
      <w:r w:rsidR="00C43D83">
        <w:rPr>
          <w:rFonts w:ascii="Times New Roman" w:hAnsi="Times New Roman" w:cs="Times New Roman"/>
          <w:sz w:val="24"/>
          <w:szCs w:val="24"/>
        </w:rPr>
        <w:t xml:space="preserve"> (2006) and significant at </w:t>
      </w:r>
      <w:r w:rsidR="00932EA0">
        <w:rPr>
          <w:rFonts w:ascii="Times New Roman" w:hAnsi="Times New Roman" w:cs="Times New Roman"/>
          <w:sz w:val="24"/>
          <w:szCs w:val="24"/>
        </w:rPr>
        <w:t>least at the .10</w:t>
      </w:r>
      <w:r w:rsidR="00C43D83">
        <w:rPr>
          <w:rFonts w:ascii="Times New Roman" w:hAnsi="Times New Roman" w:cs="Times New Roman"/>
          <w:sz w:val="24"/>
          <w:szCs w:val="24"/>
        </w:rPr>
        <w:t xml:space="preserve"> levels through </w:t>
      </w:r>
      <w:r w:rsidR="00932EA0">
        <w:rPr>
          <w:rFonts w:ascii="Times New Roman" w:hAnsi="Times New Roman" w:cs="Times New Roman"/>
          <w:sz w:val="24"/>
          <w:szCs w:val="24"/>
        </w:rPr>
        <w:t xml:space="preserve">almost </w:t>
      </w:r>
      <w:r w:rsidR="00263637">
        <w:rPr>
          <w:rFonts w:ascii="Times New Roman" w:hAnsi="Times New Roman" w:cs="Times New Roman"/>
          <w:sz w:val="24"/>
          <w:szCs w:val="24"/>
        </w:rPr>
        <w:t xml:space="preserve">all quarters over </w:t>
      </w:r>
      <w:r w:rsidR="00C43D83">
        <w:rPr>
          <w:rFonts w:ascii="Times New Roman" w:hAnsi="Times New Roman" w:cs="Times New Roman"/>
          <w:sz w:val="24"/>
          <w:szCs w:val="24"/>
        </w:rPr>
        <w:t>both the two years PRE and POST.</w:t>
      </w:r>
      <w:r w:rsidR="00263637">
        <w:rPr>
          <w:rFonts w:ascii="Times New Roman" w:hAnsi="Times New Roman" w:cs="Times New Roman"/>
          <w:sz w:val="24"/>
          <w:szCs w:val="24"/>
        </w:rPr>
        <w:t xml:space="preserve">  </w:t>
      </w:r>
      <w:r w:rsidR="005A66D7">
        <w:rPr>
          <w:rFonts w:ascii="Times New Roman" w:hAnsi="Times New Roman" w:cs="Times New Roman"/>
          <w:sz w:val="24"/>
          <w:szCs w:val="24"/>
        </w:rPr>
        <w:t xml:space="preserve">That is, relatively higher debt levels are associated with lower levels of net debt financing while higher levels of profitability and sales are associated with higher levels of net debt financing.  </w:t>
      </w:r>
    </w:p>
    <w:p w14:paraId="1EEA90CC" w14:textId="334B4DDA" w:rsidR="00056CB7" w:rsidRDefault="00D01FF6" w:rsidP="00C32EBD">
      <w:pPr>
        <w:spacing w:after="0" w:line="36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Kisgen</w:t>
      </w:r>
      <w:proofErr w:type="spellEnd"/>
      <w:r>
        <w:rPr>
          <w:rFonts w:ascii="Times New Roman" w:hAnsi="Times New Roman" w:cs="Times New Roman"/>
          <w:sz w:val="24"/>
          <w:szCs w:val="24"/>
        </w:rPr>
        <w:t xml:space="preserve"> (2006) provides regression results of significantly negative coefficients on both </w:t>
      </w:r>
      <w:proofErr w:type="spellStart"/>
      <w:r w:rsidRPr="009C33D0">
        <w:rPr>
          <w:rFonts w:ascii="Times New Roman" w:hAnsi="Times New Roman" w:cs="Times New Roman"/>
          <w:i/>
          <w:iCs/>
          <w:sz w:val="24"/>
          <w:szCs w:val="24"/>
        </w:rPr>
        <w:t>CRp</w:t>
      </w:r>
      <w:proofErr w:type="spellEnd"/>
      <w:r>
        <w:rPr>
          <w:rFonts w:ascii="Times New Roman" w:hAnsi="Times New Roman" w:cs="Times New Roman"/>
          <w:sz w:val="24"/>
          <w:szCs w:val="24"/>
        </w:rPr>
        <w:t xml:space="preserve"> and </w:t>
      </w:r>
      <w:proofErr w:type="spellStart"/>
      <w:r w:rsidRPr="009C33D0">
        <w:rPr>
          <w:rFonts w:ascii="Times New Roman" w:hAnsi="Times New Roman" w:cs="Times New Roman"/>
          <w:i/>
          <w:iCs/>
          <w:sz w:val="24"/>
          <w:szCs w:val="24"/>
        </w:rPr>
        <w:t>CRm</w:t>
      </w:r>
      <w:proofErr w:type="spellEnd"/>
      <w:r w:rsidRPr="009C33D0">
        <w:rPr>
          <w:rFonts w:ascii="Times New Roman" w:hAnsi="Times New Roman" w:cs="Times New Roman"/>
          <w:i/>
          <w:iCs/>
          <w:sz w:val="24"/>
          <w:szCs w:val="24"/>
        </w:rPr>
        <w:t xml:space="preserve"> </w:t>
      </w:r>
      <w:r>
        <w:rPr>
          <w:rFonts w:ascii="Times New Roman" w:hAnsi="Times New Roman" w:cs="Times New Roman"/>
          <w:sz w:val="24"/>
          <w:szCs w:val="24"/>
        </w:rPr>
        <w:t>as evidence of notch-rated firms engaging in more conservative debt financing policies than non-notch-rated firms.  Our results differ.  That is, w</w:t>
      </w:r>
      <w:r w:rsidR="003829C6">
        <w:rPr>
          <w:rFonts w:ascii="Times New Roman" w:hAnsi="Times New Roman" w:cs="Times New Roman"/>
          <w:sz w:val="24"/>
          <w:szCs w:val="24"/>
        </w:rPr>
        <w:t>hen looking at</w:t>
      </w:r>
      <w:r w:rsidR="00234B61">
        <w:rPr>
          <w:rFonts w:ascii="Times New Roman" w:hAnsi="Times New Roman" w:cs="Times New Roman"/>
          <w:sz w:val="24"/>
          <w:szCs w:val="24"/>
        </w:rPr>
        <w:t xml:space="preserve"> </w:t>
      </w:r>
      <w:r w:rsidR="009C33D0">
        <w:rPr>
          <w:rFonts w:ascii="Times New Roman" w:hAnsi="Times New Roman" w:cs="Times New Roman"/>
          <w:sz w:val="24"/>
          <w:szCs w:val="24"/>
        </w:rPr>
        <w:t xml:space="preserve">the </w:t>
      </w:r>
      <w:r w:rsidR="00A15BC1">
        <w:rPr>
          <w:rFonts w:ascii="Times New Roman" w:hAnsi="Times New Roman" w:cs="Times New Roman"/>
          <w:sz w:val="24"/>
          <w:szCs w:val="24"/>
        </w:rPr>
        <w:t xml:space="preserve">relationship between </w:t>
      </w:r>
      <w:r w:rsidR="00234B61">
        <w:rPr>
          <w:rFonts w:ascii="Times New Roman" w:hAnsi="Times New Roman" w:cs="Times New Roman"/>
          <w:sz w:val="24"/>
          <w:szCs w:val="24"/>
        </w:rPr>
        <w:t xml:space="preserve">notch </w:t>
      </w:r>
      <w:r w:rsidR="00A15BC1">
        <w:rPr>
          <w:rFonts w:ascii="Times New Roman" w:hAnsi="Times New Roman" w:cs="Times New Roman"/>
          <w:sz w:val="24"/>
          <w:szCs w:val="24"/>
        </w:rPr>
        <w:t xml:space="preserve">and </w:t>
      </w:r>
      <w:proofErr w:type="spellStart"/>
      <w:r w:rsidR="009C33D0" w:rsidRPr="0071452E">
        <w:rPr>
          <w:rFonts w:ascii="Times New Roman" w:hAnsi="Times New Roman" w:cs="Times New Roman"/>
          <w:i/>
          <w:sz w:val="24"/>
          <w:szCs w:val="24"/>
        </w:rPr>
        <w:t>NetDIss</w:t>
      </w:r>
      <w:proofErr w:type="spellEnd"/>
      <w:r>
        <w:rPr>
          <w:rFonts w:ascii="Times New Roman" w:hAnsi="Times New Roman" w:cs="Times New Roman"/>
          <w:sz w:val="24"/>
          <w:szCs w:val="24"/>
        </w:rPr>
        <w:t xml:space="preserve"> in Table 5 as actually </w:t>
      </w:r>
      <w:r w:rsidR="00007714">
        <w:rPr>
          <w:rFonts w:ascii="Times New Roman" w:hAnsi="Times New Roman" w:cs="Times New Roman"/>
          <w:sz w:val="24"/>
          <w:szCs w:val="24"/>
        </w:rPr>
        <w:t xml:space="preserve">suggested </w:t>
      </w:r>
      <w:r>
        <w:rPr>
          <w:rFonts w:ascii="Times New Roman" w:hAnsi="Times New Roman" w:cs="Times New Roman"/>
          <w:sz w:val="24"/>
          <w:szCs w:val="24"/>
        </w:rPr>
        <w:t xml:space="preserve">by CR-CS, </w:t>
      </w:r>
      <w:r w:rsidR="009C33D0">
        <w:rPr>
          <w:rFonts w:ascii="Times New Roman" w:hAnsi="Times New Roman" w:cs="Times New Roman"/>
          <w:sz w:val="24"/>
          <w:szCs w:val="24"/>
        </w:rPr>
        <w:t xml:space="preserve">all coefficients on </w:t>
      </w:r>
      <w:proofErr w:type="spellStart"/>
      <w:r w:rsidR="002F3503" w:rsidRPr="007D3020">
        <w:rPr>
          <w:rFonts w:ascii="Times New Roman" w:hAnsi="Times New Roman" w:cs="Times New Roman"/>
          <w:i/>
          <w:sz w:val="24"/>
          <w:szCs w:val="24"/>
        </w:rPr>
        <w:t>CRp</w:t>
      </w:r>
      <w:proofErr w:type="spellEnd"/>
      <w:r w:rsidR="002F3503">
        <w:rPr>
          <w:rFonts w:ascii="Times New Roman" w:hAnsi="Times New Roman" w:cs="Times New Roman"/>
          <w:sz w:val="24"/>
          <w:szCs w:val="24"/>
        </w:rPr>
        <w:t xml:space="preserve"> and </w:t>
      </w:r>
      <w:proofErr w:type="spellStart"/>
      <w:r w:rsidR="009C33D0" w:rsidRPr="00893E21">
        <w:rPr>
          <w:rFonts w:ascii="Times New Roman" w:hAnsi="Times New Roman" w:cs="Times New Roman"/>
          <w:i/>
          <w:iCs/>
          <w:sz w:val="24"/>
          <w:szCs w:val="24"/>
        </w:rPr>
        <w:t>CRm</w:t>
      </w:r>
      <w:proofErr w:type="spellEnd"/>
      <w:r w:rsidR="009C33D0">
        <w:rPr>
          <w:rFonts w:ascii="Times New Roman" w:hAnsi="Times New Roman" w:cs="Times New Roman"/>
          <w:sz w:val="24"/>
          <w:szCs w:val="24"/>
        </w:rPr>
        <w:t xml:space="preserve"> across all quarters </w:t>
      </w:r>
      <w:r w:rsidR="007D3020">
        <w:rPr>
          <w:rFonts w:ascii="Times New Roman" w:hAnsi="Times New Roman" w:cs="Times New Roman"/>
          <w:sz w:val="24"/>
          <w:szCs w:val="24"/>
        </w:rPr>
        <w:t xml:space="preserve">measured </w:t>
      </w:r>
      <w:r w:rsidR="009C33D0">
        <w:rPr>
          <w:rFonts w:ascii="Times New Roman" w:hAnsi="Times New Roman" w:cs="Times New Roman"/>
          <w:sz w:val="24"/>
          <w:szCs w:val="24"/>
        </w:rPr>
        <w:t xml:space="preserve">PRE </w:t>
      </w:r>
      <w:r w:rsidR="007D3020">
        <w:rPr>
          <w:rFonts w:ascii="Times New Roman" w:hAnsi="Times New Roman" w:cs="Times New Roman"/>
          <w:sz w:val="24"/>
          <w:szCs w:val="24"/>
        </w:rPr>
        <w:t xml:space="preserve">are insignificant for firms without CW announcements.  </w:t>
      </w:r>
      <w:r w:rsidR="00056CB7">
        <w:rPr>
          <w:rFonts w:ascii="Times New Roman" w:hAnsi="Times New Roman" w:cs="Times New Roman"/>
          <w:sz w:val="24"/>
          <w:szCs w:val="24"/>
        </w:rPr>
        <w:t xml:space="preserve">For firms with CW announcements, results are similar except coefficients on </w:t>
      </w:r>
      <w:proofErr w:type="spellStart"/>
      <w:r w:rsidR="00056CB7" w:rsidRPr="007D3020">
        <w:rPr>
          <w:rFonts w:ascii="Times New Roman" w:hAnsi="Times New Roman" w:cs="Times New Roman"/>
          <w:i/>
          <w:sz w:val="24"/>
          <w:szCs w:val="24"/>
        </w:rPr>
        <w:t>CRp</w:t>
      </w:r>
      <w:proofErr w:type="spellEnd"/>
      <w:r w:rsidR="00056CB7">
        <w:rPr>
          <w:rFonts w:ascii="Times New Roman" w:hAnsi="Times New Roman" w:cs="Times New Roman"/>
          <w:sz w:val="24"/>
          <w:szCs w:val="24"/>
        </w:rPr>
        <w:t xml:space="preserve"> and </w:t>
      </w:r>
      <w:proofErr w:type="spellStart"/>
      <w:r w:rsidR="00056CB7" w:rsidRPr="00893E21">
        <w:rPr>
          <w:rFonts w:ascii="Times New Roman" w:hAnsi="Times New Roman" w:cs="Times New Roman"/>
          <w:i/>
          <w:iCs/>
          <w:sz w:val="24"/>
          <w:szCs w:val="24"/>
        </w:rPr>
        <w:t>CRm</w:t>
      </w:r>
      <w:proofErr w:type="spellEnd"/>
      <w:r w:rsidR="00056CB7">
        <w:rPr>
          <w:rFonts w:ascii="Times New Roman" w:hAnsi="Times New Roman" w:cs="Times New Roman"/>
          <w:sz w:val="24"/>
          <w:szCs w:val="24"/>
        </w:rPr>
        <w:t xml:space="preserve"> are significantly positive instead of zero over the three quarters PRE, indicating that </w:t>
      </w:r>
      <w:r w:rsidR="00007714">
        <w:rPr>
          <w:rFonts w:ascii="Times New Roman" w:hAnsi="Times New Roman" w:cs="Times New Roman"/>
          <w:sz w:val="24"/>
          <w:szCs w:val="24"/>
        </w:rPr>
        <w:t xml:space="preserve">these firms are </w:t>
      </w:r>
      <w:r w:rsidR="00056CB7">
        <w:rPr>
          <w:rFonts w:ascii="Times New Roman" w:hAnsi="Times New Roman" w:cs="Times New Roman"/>
          <w:sz w:val="24"/>
          <w:szCs w:val="24"/>
        </w:rPr>
        <w:t xml:space="preserve">increasing </w:t>
      </w:r>
      <w:r w:rsidR="00007714">
        <w:rPr>
          <w:rFonts w:ascii="Times New Roman" w:hAnsi="Times New Roman" w:cs="Times New Roman"/>
          <w:sz w:val="24"/>
          <w:szCs w:val="24"/>
        </w:rPr>
        <w:t xml:space="preserve">net </w:t>
      </w:r>
      <w:r w:rsidR="00056CB7">
        <w:rPr>
          <w:rFonts w:ascii="Times New Roman" w:hAnsi="Times New Roman" w:cs="Times New Roman"/>
          <w:sz w:val="24"/>
          <w:szCs w:val="24"/>
        </w:rPr>
        <w:t xml:space="preserve">debt levels </w:t>
      </w:r>
      <w:r w:rsidR="00007714">
        <w:rPr>
          <w:rFonts w:ascii="Times New Roman" w:hAnsi="Times New Roman" w:cs="Times New Roman"/>
          <w:sz w:val="24"/>
          <w:szCs w:val="24"/>
        </w:rPr>
        <w:t xml:space="preserve">more than non-notch firms are </w:t>
      </w:r>
      <w:r w:rsidR="00056CB7">
        <w:rPr>
          <w:rFonts w:ascii="Times New Roman" w:hAnsi="Times New Roman" w:cs="Times New Roman"/>
          <w:sz w:val="24"/>
          <w:szCs w:val="24"/>
        </w:rPr>
        <w:t xml:space="preserve">before the rating change.  These results are opposite to that hypothesized by CR-CS.  </w:t>
      </w:r>
    </w:p>
    <w:p w14:paraId="38E78691" w14:textId="5E19CDE0" w:rsidR="002857E0" w:rsidRDefault="005C3F1B" w:rsidP="00C32EBD">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The results focused on POST net debt changes are more directly comparable to those of </w:t>
      </w:r>
      <w:proofErr w:type="spellStart"/>
      <w:r>
        <w:rPr>
          <w:rFonts w:ascii="Times New Roman" w:hAnsi="Times New Roman" w:cs="Times New Roman"/>
          <w:sz w:val="24"/>
          <w:szCs w:val="24"/>
        </w:rPr>
        <w:t>Kisgen</w:t>
      </w:r>
      <w:proofErr w:type="spellEnd"/>
      <w:r>
        <w:rPr>
          <w:rFonts w:ascii="Times New Roman" w:hAnsi="Times New Roman" w:cs="Times New Roman"/>
          <w:sz w:val="24"/>
          <w:szCs w:val="24"/>
        </w:rPr>
        <w:t xml:space="preserve"> (2006), except our results focus on quarterly rather than annual changes </w:t>
      </w:r>
      <w:r w:rsidR="007A62AE">
        <w:rPr>
          <w:rFonts w:ascii="Times New Roman" w:hAnsi="Times New Roman" w:cs="Times New Roman"/>
          <w:sz w:val="24"/>
          <w:szCs w:val="24"/>
        </w:rPr>
        <w:t xml:space="preserve">while simultaneously accounting for the direction and strength of rating change.  </w:t>
      </w:r>
      <w:r>
        <w:rPr>
          <w:rFonts w:ascii="Times New Roman" w:hAnsi="Times New Roman" w:cs="Times New Roman"/>
          <w:sz w:val="24"/>
          <w:szCs w:val="24"/>
        </w:rPr>
        <w:t xml:space="preserve">Again, though, </w:t>
      </w:r>
      <w:r w:rsidR="007D3020">
        <w:rPr>
          <w:rFonts w:ascii="Times New Roman" w:hAnsi="Times New Roman" w:cs="Times New Roman"/>
          <w:sz w:val="24"/>
          <w:szCs w:val="24"/>
        </w:rPr>
        <w:t>our coe</w:t>
      </w:r>
      <w:r w:rsidR="00773085">
        <w:rPr>
          <w:rFonts w:ascii="Times New Roman" w:hAnsi="Times New Roman" w:cs="Times New Roman"/>
          <w:sz w:val="24"/>
          <w:szCs w:val="24"/>
        </w:rPr>
        <w:t>f</w:t>
      </w:r>
      <w:r w:rsidR="007D3020">
        <w:rPr>
          <w:rFonts w:ascii="Times New Roman" w:hAnsi="Times New Roman" w:cs="Times New Roman"/>
          <w:sz w:val="24"/>
          <w:szCs w:val="24"/>
        </w:rPr>
        <w:t xml:space="preserve">ficients </w:t>
      </w:r>
      <w:r w:rsidR="00773085">
        <w:rPr>
          <w:rFonts w:ascii="Times New Roman" w:hAnsi="Times New Roman" w:cs="Times New Roman"/>
          <w:sz w:val="24"/>
          <w:szCs w:val="24"/>
        </w:rPr>
        <w:t xml:space="preserve">on both </w:t>
      </w:r>
      <w:proofErr w:type="spellStart"/>
      <w:r w:rsidR="00773085" w:rsidRPr="007D3020">
        <w:rPr>
          <w:rFonts w:ascii="Times New Roman" w:hAnsi="Times New Roman" w:cs="Times New Roman"/>
          <w:i/>
          <w:sz w:val="24"/>
          <w:szCs w:val="24"/>
        </w:rPr>
        <w:t>CRp</w:t>
      </w:r>
      <w:proofErr w:type="spellEnd"/>
      <w:r w:rsidR="00773085">
        <w:rPr>
          <w:rFonts w:ascii="Times New Roman" w:hAnsi="Times New Roman" w:cs="Times New Roman"/>
          <w:sz w:val="24"/>
          <w:szCs w:val="24"/>
        </w:rPr>
        <w:t xml:space="preserve"> and </w:t>
      </w:r>
      <w:proofErr w:type="spellStart"/>
      <w:r w:rsidR="00773085" w:rsidRPr="00893E21">
        <w:rPr>
          <w:rFonts w:ascii="Times New Roman" w:hAnsi="Times New Roman" w:cs="Times New Roman"/>
          <w:i/>
          <w:iCs/>
          <w:sz w:val="24"/>
          <w:szCs w:val="24"/>
        </w:rPr>
        <w:t>CRm</w:t>
      </w:r>
      <w:proofErr w:type="spellEnd"/>
      <w:r w:rsidR="00773085">
        <w:rPr>
          <w:rFonts w:ascii="Times New Roman" w:hAnsi="Times New Roman" w:cs="Times New Roman"/>
          <w:sz w:val="24"/>
          <w:szCs w:val="24"/>
        </w:rPr>
        <w:t xml:space="preserve"> a</w:t>
      </w:r>
      <w:r w:rsidR="007D3020">
        <w:rPr>
          <w:rFonts w:ascii="Times New Roman" w:hAnsi="Times New Roman" w:cs="Times New Roman"/>
          <w:sz w:val="24"/>
          <w:szCs w:val="24"/>
        </w:rPr>
        <w:t xml:space="preserve">re </w:t>
      </w:r>
      <w:r w:rsidR="005B5053">
        <w:rPr>
          <w:rFonts w:ascii="Times New Roman" w:hAnsi="Times New Roman" w:cs="Times New Roman"/>
          <w:sz w:val="24"/>
          <w:szCs w:val="24"/>
        </w:rPr>
        <w:t xml:space="preserve">generally </w:t>
      </w:r>
      <w:r w:rsidR="007D3020">
        <w:rPr>
          <w:rFonts w:ascii="Times New Roman" w:hAnsi="Times New Roman" w:cs="Times New Roman"/>
          <w:sz w:val="24"/>
          <w:szCs w:val="24"/>
        </w:rPr>
        <w:t xml:space="preserve">significantly positive, not negative, indicating that notch firms are associated with </w:t>
      </w:r>
      <w:r w:rsidR="002F2A67">
        <w:rPr>
          <w:rFonts w:ascii="Times New Roman" w:hAnsi="Times New Roman" w:cs="Times New Roman"/>
          <w:sz w:val="24"/>
          <w:szCs w:val="24"/>
        </w:rPr>
        <w:t xml:space="preserve">relatively greater </w:t>
      </w:r>
      <w:r w:rsidR="00E75017">
        <w:rPr>
          <w:rFonts w:ascii="Times New Roman" w:hAnsi="Times New Roman" w:cs="Times New Roman"/>
          <w:sz w:val="24"/>
          <w:szCs w:val="24"/>
        </w:rPr>
        <w:t xml:space="preserve">increases in </w:t>
      </w:r>
      <w:r w:rsidR="002F2A67">
        <w:rPr>
          <w:rFonts w:ascii="Times New Roman" w:hAnsi="Times New Roman" w:cs="Times New Roman"/>
          <w:sz w:val="24"/>
          <w:szCs w:val="24"/>
        </w:rPr>
        <w:t xml:space="preserve">net debt </w:t>
      </w:r>
      <w:r w:rsidR="00E75017">
        <w:rPr>
          <w:rFonts w:ascii="Times New Roman" w:hAnsi="Times New Roman" w:cs="Times New Roman"/>
          <w:sz w:val="24"/>
          <w:szCs w:val="24"/>
        </w:rPr>
        <w:t>levels t</w:t>
      </w:r>
      <w:r w:rsidR="002F2A67">
        <w:rPr>
          <w:rFonts w:ascii="Times New Roman" w:hAnsi="Times New Roman" w:cs="Times New Roman"/>
          <w:sz w:val="24"/>
          <w:szCs w:val="24"/>
        </w:rPr>
        <w:t>han non-notch firms once the rating change has occurred.</w:t>
      </w:r>
      <w:r w:rsidR="009B635C">
        <w:rPr>
          <w:rStyle w:val="FootnoteReference"/>
          <w:rFonts w:ascii="Times New Roman" w:hAnsi="Times New Roman" w:cs="Times New Roman"/>
          <w:sz w:val="24"/>
          <w:szCs w:val="24"/>
        </w:rPr>
        <w:footnoteReference w:id="12"/>
      </w:r>
      <w:r w:rsidR="009B635C">
        <w:rPr>
          <w:rFonts w:ascii="Times New Roman" w:hAnsi="Times New Roman" w:cs="Times New Roman"/>
          <w:sz w:val="24"/>
          <w:szCs w:val="24"/>
        </w:rPr>
        <w:t xml:space="preserve"> </w:t>
      </w:r>
      <w:r w:rsidR="00EB1794">
        <w:rPr>
          <w:rFonts w:ascii="Times New Roman" w:hAnsi="Times New Roman" w:cs="Times New Roman"/>
          <w:sz w:val="24"/>
          <w:szCs w:val="24"/>
        </w:rPr>
        <w:t xml:space="preserve">  </w:t>
      </w:r>
      <w:r w:rsidR="002857E0">
        <w:rPr>
          <w:rFonts w:ascii="Times New Roman" w:hAnsi="Times New Roman" w:cs="Times New Roman"/>
          <w:sz w:val="24"/>
          <w:szCs w:val="24"/>
        </w:rPr>
        <w:t xml:space="preserve">Finally, when focusing on the results associated with </w:t>
      </w:r>
      <w:r w:rsidR="002857E0" w:rsidRPr="002B59D9">
        <w:rPr>
          <w:rFonts w:ascii="Times New Roman" w:hAnsi="Times New Roman" w:cs="Times New Roman"/>
          <w:i/>
          <w:iCs/>
          <w:sz w:val="24"/>
          <w:szCs w:val="24"/>
        </w:rPr>
        <w:t>ΔSP</w:t>
      </w:r>
      <w:r w:rsidR="002857E0">
        <w:rPr>
          <w:rFonts w:ascii="Times New Roman" w:hAnsi="Times New Roman" w:cs="Times New Roman"/>
          <w:sz w:val="24"/>
          <w:szCs w:val="24"/>
        </w:rPr>
        <w:t xml:space="preserve"> in both panels A and B, we see that</w:t>
      </w:r>
      <w:r w:rsidR="0014097A">
        <w:rPr>
          <w:rFonts w:ascii="Times New Roman" w:hAnsi="Times New Roman" w:cs="Times New Roman"/>
          <w:sz w:val="24"/>
          <w:szCs w:val="24"/>
        </w:rPr>
        <w:t xml:space="preserve"> relative declines in debt usage measured PRE are associated with upgrades and upgrades are then associated with relatively greater debt usage </w:t>
      </w:r>
      <w:r w:rsidR="0014097A">
        <w:rPr>
          <w:rFonts w:ascii="Times New Roman" w:hAnsi="Times New Roman" w:cs="Times New Roman"/>
          <w:sz w:val="24"/>
          <w:szCs w:val="24"/>
        </w:rPr>
        <w:lastRenderedPageBreak/>
        <w:t>measured POST.  This evidence suggests that firms generally reduce debt to achieve upgrades that, once realized, allow them to enjoy lower-cost benefits from higher-quality debt.</w:t>
      </w:r>
      <w:bookmarkEnd w:id="12"/>
    </w:p>
    <w:p w14:paraId="174E7429" w14:textId="77777777" w:rsidR="00C73864" w:rsidRDefault="00C73864" w:rsidP="00C73864">
      <w:pPr>
        <w:spacing w:after="0" w:line="240" w:lineRule="auto"/>
        <w:ind w:firstLine="360"/>
        <w:rPr>
          <w:rFonts w:ascii="Times New Roman" w:hAnsi="Times New Roman" w:cs="Times New Roman"/>
          <w:sz w:val="24"/>
          <w:szCs w:val="24"/>
        </w:rPr>
      </w:pPr>
    </w:p>
    <w:p w14:paraId="4EEDB66D" w14:textId="5A0D3820" w:rsidR="00863D24" w:rsidRPr="00504885" w:rsidRDefault="003B5835" w:rsidP="00504885">
      <w:pPr>
        <w:pStyle w:val="ListParagraph"/>
        <w:numPr>
          <w:ilvl w:val="0"/>
          <w:numId w:val="7"/>
        </w:numPr>
        <w:spacing w:after="0" w:line="240" w:lineRule="auto"/>
        <w:rPr>
          <w:rFonts w:ascii="Times New Roman" w:hAnsi="Times New Roman" w:cs="Times New Roman"/>
          <w:b/>
          <w:bCs/>
          <w:i/>
          <w:iCs/>
          <w:sz w:val="24"/>
          <w:szCs w:val="24"/>
        </w:rPr>
      </w:pPr>
      <w:r w:rsidRPr="00504885">
        <w:rPr>
          <w:rFonts w:ascii="Times New Roman" w:hAnsi="Times New Roman" w:cs="Times New Roman"/>
          <w:b/>
          <w:bCs/>
          <w:i/>
          <w:iCs/>
          <w:sz w:val="24"/>
          <w:szCs w:val="24"/>
        </w:rPr>
        <w:t>Broad Rating Logistic Regression Results</w:t>
      </w:r>
    </w:p>
    <w:p w14:paraId="2C1B8547" w14:textId="5C7CA80C" w:rsidR="00A71A00" w:rsidRDefault="00A71A00" w:rsidP="00040663">
      <w:pPr>
        <w:spacing w:after="0" w:line="240" w:lineRule="auto"/>
        <w:ind w:firstLine="360"/>
        <w:rPr>
          <w:rFonts w:ascii="Times New Roman" w:hAnsi="Times New Roman" w:cs="Times New Roman"/>
          <w:sz w:val="24"/>
          <w:szCs w:val="24"/>
        </w:rPr>
      </w:pPr>
    </w:p>
    <w:p w14:paraId="5041F8B1" w14:textId="22B005CC" w:rsidR="00E93D3F" w:rsidRDefault="00823AB8" w:rsidP="00C32EBD">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W</w:t>
      </w:r>
      <w:r w:rsidR="000F75D1">
        <w:rPr>
          <w:rFonts w:ascii="Times New Roman" w:hAnsi="Times New Roman" w:cs="Times New Roman"/>
          <w:sz w:val="24"/>
          <w:szCs w:val="24"/>
        </w:rPr>
        <w:t>e next look more directly at the impact of these same variables on the UP/DOWN decision</w:t>
      </w:r>
      <w:r w:rsidR="00425FA1">
        <w:rPr>
          <w:rFonts w:ascii="Times New Roman" w:hAnsi="Times New Roman" w:cs="Times New Roman"/>
          <w:sz w:val="24"/>
          <w:szCs w:val="24"/>
        </w:rPr>
        <w:t xml:space="preserve"> with </w:t>
      </w:r>
      <w:r w:rsidR="00425FA1" w:rsidRPr="002B59D9">
        <w:rPr>
          <w:rFonts w:ascii="Times New Roman" w:hAnsi="Times New Roman" w:cs="Times New Roman"/>
          <w:i/>
          <w:iCs/>
          <w:sz w:val="24"/>
          <w:szCs w:val="24"/>
        </w:rPr>
        <w:t>ΔSP</w:t>
      </w:r>
      <w:r w:rsidR="00425FA1">
        <w:rPr>
          <w:rFonts w:ascii="Times New Roman" w:hAnsi="Times New Roman" w:cs="Times New Roman"/>
          <w:sz w:val="24"/>
          <w:szCs w:val="24"/>
        </w:rPr>
        <w:t xml:space="preserve"> transformed into a binary variable w</w:t>
      </w:r>
      <w:r>
        <w:rPr>
          <w:rFonts w:ascii="Times New Roman" w:hAnsi="Times New Roman" w:cs="Times New Roman"/>
          <w:sz w:val="24"/>
          <w:szCs w:val="24"/>
        </w:rPr>
        <w:t>ith</w:t>
      </w:r>
      <w:r w:rsidR="00AC42C0">
        <w:rPr>
          <w:rFonts w:ascii="Times New Roman" w:hAnsi="Times New Roman" w:cs="Times New Roman"/>
          <w:sz w:val="24"/>
          <w:szCs w:val="24"/>
        </w:rPr>
        <w:t xml:space="preserve"> positive</w:t>
      </w:r>
      <w:r w:rsidR="00425FA1">
        <w:rPr>
          <w:rFonts w:ascii="Times New Roman" w:hAnsi="Times New Roman" w:cs="Times New Roman"/>
          <w:sz w:val="24"/>
          <w:szCs w:val="24"/>
        </w:rPr>
        <w:t xml:space="preserve"> </w:t>
      </w:r>
      <w:r w:rsidR="00425FA1" w:rsidRPr="002B59D9">
        <w:rPr>
          <w:rFonts w:ascii="Times New Roman" w:hAnsi="Times New Roman" w:cs="Times New Roman"/>
          <w:i/>
          <w:iCs/>
          <w:sz w:val="24"/>
          <w:szCs w:val="24"/>
        </w:rPr>
        <w:t>ΔSP</w:t>
      </w:r>
      <w:r w:rsidR="00D338B9">
        <w:rPr>
          <w:rFonts w:ascii="Times New Roman" w:hAnsi="Times New Roman" w:cs="Times New Roman"/>
          <w:sz w:val="24"/>
          <w:szCs w:val="24"/>
        </w:rPr>
        <w:t xml:space="preserve"> </w:t>
      </w:r>
      <w:r w:rsidR="00425FA1">
        <w:rPr>
          <w:rFonts w:ascii="Times New Roman" w:hAnsi="Times New Roman" w:cs="Times New Roman"/>
          <w:sz w:val="24"/>
          <w:szCs w:val="24"/>
        </w:rPr>
        <w:t xml:space="preserve">given the value of one and negative </w:t>
      </w:r>
      <w:r w:rsidR="00425FA1" w:rsidRPr="002B59D9">
        <w:rPr>
          <w:rFonts w:ascii="Times New Roman" w:hAnsi="Times New Roman" w:cs="Times New Roman"/>
          <w:i/>
          <w:iCs/>
          <w:sz w:val="24"/>
          <w:szCs w:val="24"/>
        </w:rPr>
        <w:t>ΔSP</w:t>
      </w:r>
      <w:r w:rsidR="00D338B9">
        <w:rPr>
          <w:rFonts w:ascii="Times New Roman" w:hAnsi="Times New Roman" w:cs="Times New Roman"/>
          <w:sz w:val="24"/>
          <w:szCs w:val="24"/>
        </w:rPr>
        <w:t xml:space="preserve"> </w:t>
      </w:r>
      <w:r w:rsidR="00425FA1">
        <w:rPr>
          <w:rFonts w:ascii="Times New Roman" w:hAnsi="Times New Roman" w:cs="Times New Roman"/>
          <w:sz w:val="24"/>
          <w:szCs w:val="24"/>
        </w:rPr>
        <w:t xml:space="preserve">given the value of zero for </w:t>
      </w:r>
      <w:r w:rsidR="00AC42C0">
        <w:rPr>
          <w:rFonts w:ascii="Times New Roman" w:hAnsi="Times New Roman" w:cs="Times New Roman"/>
          <w:sz w:val="24"/>
          <w:szCs w:val="24"/>
        </w:rPr>
        <w:t>any</w:t>
      </w:r>
      <w:r w:rsidR="00425FA1">
        <w:rPr>
          <w:rFonts w:ascii="Times New Roman" w:hAnsi="Times New Roman" w:cs="Times New Roman"/>
          <w:sz w:val="24"/>
          <w:szCs w:val="24"/>
        </w:rPr>
        <w:t xml:space="preserve"> firm experiencing a rating change</w:t>
      </w:r>
      <w:r>
        <w:rPr>
          <w:rFonts w:ascii="Times New Roman" w:hAnsi="Times New Roman" w:cs="Times New Roman"/>
          <w:sz w:val="24"/>
          <w:szCs w:val="24"/>
        </w:rPr>
        <w:t xml:space="preserve"> through logistic regression results presented in Table 6</w:t>
      </w:r>
      <w:r w:rsidR="00425FA1">
        <w:rPr>
          <w:rFonts w:ascii="Times New Roman" w:hAnsi="Times New Roman" w:cs="Times New Roman"/>
          <w:sz w:val="24"/>
          <w:szCs w:val="24"/>
        </w:rPr>
        <w:t xml:space="preserve">.  The explanatory variables </w:t>
      </w:r>
      <w:r>
        <w:rPr>
          <w:rFonts w:ascii="Times New Roman" w:hAnsi="Times New Roman" w:cs="Times New Roman"/>
          <w:sz w:val="24"/>
          <w:szCs w:val="24"/>
        </w:rPr>
        <w:t xml:space="preserve">used in these logit models </w:t>
      </w:r>
      <w:r w:rsidR="00AC42C0">
        <w:rPr>
          <w:rFonts w:ascii="Times New Roman" w:hAnsi="Times New Roman" w:cs="Times New Roman"/>
          <w:sz w:val="24"/>
          <w:szCs w:val="24"/>
        </w:rPr>
        <w:t xml:space="preserve">are </w:t>
      </w:r>
      <w:r>
        <w:rPr>
          <w:rFonts w:ascii="Times New Roman" w:hAnsi="Times New Roman" w:cs="Times New Roman"/>
          <w:sz w:val="24"/>
          <w:szCs w:val="24"/>
        </w:rPr>
        <w:t xml:space="preserve">the same used </w:t>
      </w:r>
      <w:r w:rsidR="00AC42C0">
        <w:rPr>
          <w:rFonts w:ascii="Times New Roman" w:hAnsi="Times New Roman" w:cs="Times New Roman"/>
          <w:sz w:val="24"/>
          <w:szCs w:val="24"/>
        </w:rPr>
        <w:t xml:space="preserve">in Table 5 with </w:t>
      </w:r>
      <w:r>
        <w:rPr>
          <w:rFonts w:ascii="Times New Roman" w:hAnsi="Times New Roman" w:cs="Times New Roman"/>
          <w:sz w:val="24"/>
          <w:szCs w:val="24"/>
        </w:rPr>
        <w:t>the</w:t>
      </w:r>
      <w:r w:rsidR="002D12B1">
        <w:rPr>
          <w:rFonts w:ascii="Times New Roman" w:hAnsi="Times New Roman" w:cs="Times New Roman"/>
          <w:sz w:val="24"/>
          <w:szCs w:val="24"/>
        </w:rPr>
        <w:t xml:space="preserve"> </w:t>
      </w:r>
      <w:r w:rsidR="00AC42C0">
        <w:rPr>
          <w:rFonts w:ascii="Times New Roman" w:hAnsi="Times New Roman" w:cs="Times New Roman"/>
          <w:sz w:val="24"/>
          <w:szCs w:val="24"/>
        </w:rPr>
        <w:t xml:space="preserve">adjustment of </w:t>
      </w:r>
      <w:proofErr w:type="spellStart"/>
      <w:r w:rsidR="00AC42C0" w:rsidRPr="00DB4540">
        <w:rPr>
          <w:rFonts w:ascii="Times New Roman" w:hAnsi="Times New Roman" w:cs="Times New Roman"/>
          <w:i/>
          <w:sz w:val="24"/>
          <w:szCs w:val="24"/>
        </w:rPr>
        <w:t>NetDIss</w:t>
      </w:r>
      <w:proofErr w:type="spellEnd"/>
      <w:r w:rsidR="00AC42C0">
        <w:rPr>
          <w:rFonts w:ascii="Times New Roman" w:hAnsi="Times New Roman" w:cs="Times New Roman"/>
          <w:sz w:val="24"/>
          <w:szCs w:val="24"/>
        </w:rPr>
        <w:t xml:space="preserve"> serving also </w:t>
      </w:r>
      <w:r w:rsidR="002D12B1">
        <w:rPr>
          <w:rFonts w:ascii="Times New Roman" w:hAnsi="Times New Roman" w:cs="Times New Roman"/>
          <w:sz w:val="24"/>
          <w:szCs w:val="24"/>
        </w:rPr>
        <w:t xml:space="preserve">as </w:t>
      </w:r>
      <w:r w:rsidR="00AC42C0">
        <w:rPr>
          <w:rFonts w:ascii="Times New Roman" w:hAnsi="Times New Roman" w:cs="Times New Roman"/>
          <w:sz w:val="24"/>
          <w:szCs w:val="24"/>
        </w:rPr>
        <w:t>an explanatory variable</w:t>
      </w:r>
      <w:r w:rsidR="002D12B1">
        <w:rPr>
          <w:rFonts w:ascii="Times New Roman" w:hAnsi="Times New Roman" w:cs="Times New Roman"/>
          <w:sz w:val="24"/>
          <w:szCs w:val="24"/>
        </w:rPr>
        <w:t xml:space="preserve">.  Panels A and B reflect </w:t>
      </w:r>
      <w:r w:rsidR="003207F0">
        <w:rPr>
          <w:rFonts w:ascii="Times New Roman" w:hAnsi="Times New Roman" w:cs="Times New Roman"/>
          <w:sz w:val="24"/>
          <w:szCs w:val="24"/>
        </w:rPr>
        <w:t xml:space="preserve">firms experiencing rating changes </w:t>
      </w:r>
      <w:r w:rsidR="002D12B1">
        <w:rPr>
          <w:rFonts w:ascii="Times New Roman" w:hAnsi="Times New Roman" w:cs="Times New Roman"/>
          <w:sz w:val="24"/>
          <w:szCs w:val="24"/>
        </w:rPr>
        <w:t xml:space="preserve">without and with </w:t>
      </w:r>
      <w:r w:rsidR="003207F0">
        <w:rPr>
          <w:rFonts w:ascii="Times New Roman" w:hAnsi="Times New Roman" w:cs="Times New Roman"/>
          <w:sz w:val="24"/>
          <w:szCs w:val="24"/>
        </w:rPr>
        <w:t xml:space="preserve">prior </w:t>
      </w:r>
      <w:r w:rsidR="0016631A">
        <w:rPr>
          <w:rFonts w:ascii="Times New Roman" w:hAnsi="Times New Roman" w:cs="Times New Roman"/>
          <w:sz w:val="24"/>
          <w:szCs w:val="24"/>
        </w:rPr>
        <w:t>CW announcements</w:t>
      </w:r>
      <w:r w:rsidR="003207F0">
        <w:rPr>
          <w:rFonts w:ascii="Times New Roman" w:hAnsi="Times New Roman" w:cs="Times New Roman"/>
          <w:sz w:val="24"/>
          <w:szCs w:val="24"/>
        </w:rPr>
        <w:t xml:space="preserve">, </w:t>
      </w:r>
      <w:r w:rsidR="002D12B1">
        <w:rPr>
          <w:rFonts w:ascii="Times New Roman" w:hAnsi="Times New Roman" w:cs="Times New Roman"/>
          <w:sz w:val="24"/>
          <w:szCs w:val="24"/>
        </w:rPr>
        <w:t>respectivel</w:t>
      </w:r>
      <w:r w:rsidR="00E50639">
        <w:rPr>
          <w:rFonts w:ascii="Times New Roman" w:hAnsi="Times New Roman" w:cs="Times New Roman"/>
          <w:sz w:val="24"/>
          <w:szCs w:val="24"/>
        </w:rPr>
        <w:t>y</w:t>
      </w:r>
      <w:r w:rsidR="00616C20">
        <w:rPr>
          <w:rFonts w:ascii="Times New Roman" w:hAnsi="Times New Roman" w:cs="Times New Roman"/>
          <w:sz w:val="24"/>
          <w:szCs w:val="24"/>
        </w:rPr>
        <w:t xml:space="preserve">, and we only report results </w:t>
      </w:r>
      <w:r w:rsidR="00F930EF">
        <w:rPr>
          <w:rFonts w:ascii="Times New Roman" w:hAnsi="Times New Roman" w:cs="Times New Roman"/>
          <w:sz w:val="24"/>
          <w:szCs w:val="24"/>
        </w:rPr>
        <w:t>over the quarters of Q-8 through Q0 since we are primarily interested in the factors that influence the upcoming probability of upgrade.</w:t>
      </w:r>
    </w:p>
    <w:p w14:paraId="50BA1F26" w14:textId="28AB7076" w:rsidR="00E801B1" w:rsidRPr="00F03394" w:rsidRDefault="00BF6B2D" w:rsidP="00C32EBD">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w:t>
      </w:r>
      <w:r w:rsidR="000C1067">
        <w:rPr>
          <w:rFonts w:ascii="Times New Roman" w:hAnsi="Times New Roman" w:cs="Times New Roman"/>
          <w:sz w:val="24"/>
          <w:szCs w:val="24"/>
        </w:rPr>
        <w:t>Panel</w:t>
      </w:r>
      <w:r w:rsidR="009D0187">
        <w:rPr>
          <w:rFonts w:ascii="Times New Roman" w:hAnsi="Times New Roman" w:cs="Times New Roman"/>
          <w:sz w:val="24"/>
          <w:szCs w:val="24"/>
        </w:rPr>
        <w:t>s</w:t>
      </w:r>
      <w:r w:rsidR="000C1067">
        <w:rPr>
          <w:rFonts w:ascii="Times New Roman" w:hAnsi="Times New Roman" w:cs="Times New Roman"/>
          <w:sz w:val="24"/>
          <w:szCs w:val="24"/>
        </w:rPr>
        <w:t xml:space="preserve"> A </w:t>
      </w:r>
      <w:r w:rsidR="009D0187">
        <w:rPr>
          <w:rFonts w:ascii="Times New Roman" w:hAnsi="Times New Roman" w:cs="Times New Roman"/>
          <w:sz w:val="24"/>
          <w:szCs w:val="24"/>
        </w:rPr>
        <w:t xml:space="preserve">and B </w:t>
      </w:r>
      <w:r w:rsidR="006A297A">
        <w:rPr>
          <w:rFonts w:ascii="Times New Roman" w:hAnsi="Times New Roman" w:cs="Times New Roman"/>
          <w:sz w:val="24"/>
          <w:szCs w:val="24"/>
        </w:rPr>
        <w:t>of</w:t>
      </w:r>
      <w:r w:rsidR="000C1067">
        <w:rPr>
          <w:rFonts w:ascii="Times New Roman" w:hAnsi="Times New Roman" w:cs="Times New Roman"/>
          <w:sz w:val="24"/>
          <w:szCs w:val="24"/>
        </w:rPr>
        <w:t xml:space="preserve"> Table 6, </w:t>
      </w:r>
      <w:r w:rsidR="006A297A">
        <w:rPr>
          <w:rFonts w:ascii="Times New Roman" w:hAnsi="Times New Roman" w:cs="Times New Roman"/>
          <w:sz w:val="24"/>
          <w:szCs w:val="24"/>
        </w:rPr>
        <w:t xml:space="preserve">the evidence </w:t>
      </w:r>
      <w:r w:rsidR="00DB4540">
        <w:rPr>
          <w:rFonts w:ascii="Times New Roman" w:hAnsi="Times New Roman" w:cs="Times New Roman"/>
          <w:sz w:val="24"/>
          <w:szCs w:val="24"/>
        </w:rPr>
        <w:t xml:space="preserve">focusing on </w:t>
      </w:r>
      <w:r w:rsidR="00EE318B" w:rsidRPr="00EE318B">
        <w:rPr>
          <w:rFonts w:ascii="Times New Roman" w:hAnsi="Times New Roman" w:cs="Times New Roman"/>
          <w:i/>
          <w:sz w:val="24"/>
          <w:szCs w:val="24"/>
        </w:rPr>
        <w:t>TD/TA</w:t>
      </w:r>
      <w:r w:rsidR="00DB4540">
        <w:rPr>
          <w:rFonts w:ascii="Times New Roman" w:hAnsi="Times New Roman" w:cs="Times New Roman"/>
          <w:sz w:val="24"/>
          <w:szCs w:val="24"/>
        </w:rPr>
        <w:t xml:space="preserve"> </w:t>
      </w:r>
      <w:r w:rsidR="00EE318B">
        <w:rPr>
          <w:rFonts w:ascii="Times New Roman" w:hAnsi="Times New Roman" w:cs="Times New Roman"/>
          <w:sz w:val="24"/>
          <w:szCs w:val="24"/>
        </w:rPr>
        <w:t xml:space="preserve">and </w:t>
      </w:r>
      <w:proofErr w:type="spellStart"/>
      <w:r w:rsidR="00765354" w:rsidRPr="00DB4540">
        <w:rPr>
          <w:rFonts w:ascii="Times New Roman" w:hAnsi="Times New Roman" w:cs="Times New Roman"/>
          <w:i/>
          <w:sz w:val="24"/>
          <w:szCs w:val="24"/>
        </w:rPr>
        <w:t>NetDIss</w:t>
      </w:r>
      <w:proofErr w:type="spellEnd"/>
      <w:r w:rsidR="00765354">
        <w:rPr>
          <w:rFonts w:ascii="Times New Roman" w:hAnsi="Times New Roman" w:cs="Times New Roman"/>
          <w:sz w:val="24"/>
          <w:szCs w:val="24"/>
        </w:rPr>
        <w:t xml:space="preserve"> </w:t>
      </w:r>
      <w:r w:rsidR="00DB4540">
        <w:rPr>
          <w:rFonts w:ascii="Times New Roman" w:hAnsi="Times New Roman" w:cs="Times New Roman"/>
          <w:sz w:val="24"/>
          <w:szCs w:val="24"/>
        </w:rPr>
        <w:t xml:space="preserve">indicates that </w:t>
      </w:r>
      <w:r w:rsidR="006A297A">
        <w:rPr>
          <w:rFonts w:ascii="Times New Roman" w:hAnsi="Times New Roman" w:cs="Times New Roman"/>
          <w:sz w:val="24"/>
          <w:szCs w:val="24"/>
        </w:rPr>
        <w:t>high</w:t>
      </w:r>
      <w:r w:rsidR="00076DF1">
        <w:rPr>
          <w:rFonts w:ascii="Times New Roman" w:hAnsi="Times New Roman" w:cs="Times New Roman"/>
          <w:sz w:val="24"/>
          <w:szCs w:val="24"/>
        </w:rPr>
        <w:t>er</w:t>
      </w:r>
      <w:r w:rsidR="006A297A">
        <w:rPr>
          <w:rFonts w:ascii="Times New Roman" w:hAnsi="Times New Roman" w:cs="Times New Roman"/>
          <w:sz w:val="24"/>
          <w:szCs w:val="24"/>
        </w:rPr>
        <w:t xml:space="preserve"> levels of debt </w:t>
      </w:r>
      <w:r w:rsidR="00DB4540">
        <w:rPr>
          <w:rFonts w:ascii="Times New Roman" w:hAnsi="Times New Roman" w:cs="Times New Roman"/>
          <w:sz w:val="24"/>
          <w:szCs w:val="24"/>
        </w:rPr>
        <w:t xml:space="preserve">and increased net debt adjustments measured PRE </w:t>
      </w:r>
      <w:r w:rsidR="006A297A">
        <w:rPr>
          <w:rFonts w:ascii="Times New Roman" w:hAnsi="Times New Roman" w:cs="Times New Roman"/>
          <w:sz w:val="24"/>
          <w:szCs w:val="24"/>
        </w:rPr>
        <w:t xml:space="preserve">are associated with a higher probability of being downgraded while higher levels of profitability are associated with a higher probability of being upgraded across almost all quarters measured PRE.  </w:t>
      </w:r>
      <w:r w:rsidR="00B96BCF">
        <w:rPr>
          <w:rFonts w:ascii="Times New Roman" w:hAnsi="Times New Roman" w:cs="Times New Roman"/>
          <w:sz w:val="24"/>
          <w:szCs w:val="24"/>
        </w:rPr>
        <w:t xml:space="preserve">However, </w:t>
      </w:r>
      <w:r w:rsidR="00BD3459">
        <w:rPr>
          <w:rFonts w:ascii="Times New Roman" w:hAnsi="Times New Roman" w:cs="Times New Roman"/>
          <w:sz w:val="24"/>
          <w:szCs w:val="24"/>
        </w:rPr>
        <w:t>although</w:t>
      </w:r>
      <w:r w:rsidR="00B96BCF">
        <w:rPr>
          <w:rFonts w:ascii="Times New Roman" w:hAnsi="Times New Roman" w:cs="Times New Roman"/>
          <w:sz w:val="24"/>
          <w:szCs w:val="24"/>
        </w:rPr>
        <w:t xml:space="preserve"> sales are positively related to the probability of upgrade for firms without CW announcements, they are insignificantly related </w:t>
      </w:r>
      <w:r w:rsidR="00E7601B">
        <w:rPr>
          <w:rFonts w:ascii="Times New Roman" w:hAnsi="Times New Roman" w:cs="Times New Roman"/>
          <w:sz w:val="24"/>
          <w:szCs w:val="24"/>
        </w:rPr>
        <w:t xml:space="preserve">to upgrade probability </w:t>
      </w:r>
      <w:r w:rsidR="00B96BCF">
        <w:rPr>
          <w:rFonts w:ascii="Times New Roman" w:hAnsi="Times New Roman" w:cs="Times New Roman"/>
          <w:sz w:val="24"/>
          <w:szCs w:val="24"/>
        </w:rPr>
        <w:t xml:space="preserve">for firms with CW announcements.  </w:t>
      </w:r>
      <w:r w:rsidR="00E7601B">
        <w:rPr>
          <w:rFonts w:ascii="Times New Roman" w:hAnsi="Times New Roman" w:cs="Times New Roman"/>
          <w:sz w:val="24"/>
          <w:szCs w:val="24"/>
        </w:rPr>
        <w:t xml:space="preserve">Given that firms with CW announcements relative to those without are associated with many more downgrades per upgrade, these results suggest that </w:t>
      </w:r>
      <w:r w:rsidR="00CF1BFE">
        <w:rPr>
          <w:rFonts w:ascii="Times New Roman" w:hAnsi="Times New Roman" w:cs="Times New Roman"/>
          <w:sz w:val="24"/>
          <w:szCs w:val="24"/>
        </w:rPr>
        <w:t xml:space="preserve">the </w:t>
      </w:r>
      <w:r w:rsidR="00A11D50">
        <w:rPr>
          <w:rFonts w:ascii="Times New Roman" w:hAnsi="Times New Roman" w:cs="Times New Roman"/>
          <w:sz w:val="24"/>
          <w:szCs w:val="24"/>
        </w:rPr>
        <w:t xml:space="preserve">relationship between sales and profitability for firms experiencing prior CW announcements differs from that for firms without CW announcements.  That is, the </w:t>
      </w:r>
      <w:r w:rsidR="00DE0125">
        <w:rPr>
          <w:rFonts w:ascii="Times New Roman" w:hAnsi="Times New Roman" w:cs="Times New Roman"/>
          <w:sz w:val="24"/>
          <w:szCs w:val="24"/>
        </w:rPr>
        <w:t xml:space="preserve">typical direct </w:t>
      </w:r>
      <w:r w:rsidR="00CF1BFE">
        <w:rPr>
          <w:rFonts w:ascii="Times New Roman" w:hAnsi="Times New Roman" w:cs="Times New Roman"/>
          <w:sz w:val="24"/>
          <w:szCs w:val="24"/>
        </w:rPr>
        <w:t xml:space="preserve">relationship between sales and profitability is </w:t>
      </w:r>
      <w:r w:rsidR="00A11D50">
        <w:rPr>
          <w:rFonts w:ascii="Times New Roman" w:hAnsi="Times New Roman" w:cs="Times New Roman"/>
          <w:sz w:val="24"/>
          <w:szCs w:val="24"/>
        </w:rPr>
        <w:t xml:space="preserve">relatively weaker for firms with CW announcements, </w:t>
      </w:r>
      <w:r w:rsidR="00BD3459">
        <w:rPr>
          <w:rFonts w:ascii="Times New Roman" w:hAnsi="Times New Roman" w:cs="Times New Roman"/>
          <w:sz w:val="24"/>
          <w:szCs w:val="24"/>
        </w:rPr>
        <w:t xml:space="preserve">perhaps </w:t>
      </w:r>
      <w:r w:rsidR="00A11D50">
        <w:rPr>
          <w:rFonts w:ascii="Times New Roman" w:hAnsi="Times New Roman" w:cs="Times New Roman"/>
          <w:sz w:val="24"/>
          <w:szCs w:val="24"/>
        </w:rPr>
        <w:t xml:space="preserve">indicating that a healthy margin plays a much more important role in the analysis of these firms by S&amp;P.  </w:t>
      </w:r>
      <w:r w:rsidR="00CF1BFE">
        <w:rPr>
          <w:rFonts w:ascii="Times New Roman" w:hAnsi="Times New Roman" w:cs="Times New Roman"/>
          <w:sz w:val="24"/>
          <w:szCs w:val="24"/>
        </w:rPr>
        <w:t xml:space="preserve">  </w:t>
      </w:r>
    </w:p>
    <w:p w14:paraId="12D47E10" w14:textId="07E1D376" w:rsidR="004C6AA2" w:rsidRDefault="00AD5ACB" w:rsidP="00C32EBD">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Finally, when focusing on results associated with </w:t>
      </w:r>
      <w:proofErr w:type="spellStart"/>
      <w:r w:rsidRPr="00AD5ACB">
        <w:rPr>
          <w:rFonts w:ascii="Times New Roman" w:hAnsi="Times New Roman" w:cs="Times New Roman"/>
          <w:i/>
          <w:iCs/>
          <w:sz w:val="24"/>
          <w:szCs w:val="24"/>
        </w:rPr>
        <w:t>CRp</w:t>
      </w:r>
      <w:proofErr w:type="spellEnd"/>
      <w:r>
        <w:rPr>
          <w:rFonts w:ascii="Times New Roman" w:hAnsi="Times New Roman" w:cs="Times New Roman"/>
          <w:sz w:val="24"/>
          <w:szCs w:val="24"/>
        </w:rPr>
        <w:t xml:space="preserve"> and </w:t>
      </w:r>
      <w:proofErr w:type="spellStart"/>
      <w:r w:rsidRPr="00AD5ACB">
        <w:rPr>
          <w:rFonts w:ascii="Times New Roman" w:hAnsi="Times New Roman" w:cs="Times New Roman"/>
          <w:i/>
          <w:iCs/>
          <w:sz w:val="24"/>
          <w:szCs w:val="24"/>
        </w:rPr>
        <w:t>CRm</w:t>
      </w:r>
      <w:proofErr w:type="spellEnd"/>
      <w:r>
        <w:rPr>
          <w:rFonts w:ascii="Times New Roman" w:hAnsi="Times New Roman" w:cs="Times New Roman"/>
          <w:sz w:val="24"/>
          <w:szCs w:val="24"/>
        </w:rPr>
        <w:t xml:space="preserve"> in Panel A, there is no evidence that notch ratings of firms without </w:t>
      </w:r>
      <w:r w:rsidR="0016631A">
        <w:rPr>
          <w:rFonts w:ascii="Times New Roman" w:hAnsi="Times New Roman" w:cs="Times New Roman"/>
          <w:sz w:val="24"/>
          <w:szCs w:val="24"/>
        </w:rPr>
        <w:t>CW announcements</w:t>
      </w:r>
      <w:r>
        <w:rPr>
          <w:rFonts w:ascii="Times New Roman" w:hAnsi="Times New Roman" w:cs="Times New Roman"/>
          <w:sz w:val="24"/>
          <w:szCs w:val="24"/>
        </w:rPr>
        <w:t xml:space="preserve"> have any impact on the probability of their ratings being changed.  In Panel B, </w:t>
      </w:r>
      <w:r w:rsidR="00DE69D9">
        <w:rPr>
          <w:rFonts w:ascii="Times New Roman" w:hAnsi="Times New Roman" w:cs="Times New Roman"/>
          <w:sz w:val="24"/>
          <w:szCs w:val="24"/>
        </w:rPr>
        <w:t xml:space="preserve">though, </w:t>
      </w:r>
      <w:r>
        <w:rPr>
          <w:rFonts w:ascii="Times New Roman" w:hAnsi="Times New Roman" w:cs="Times New Roman"/>
          <w:sz w:val="24"/>
          <w:szCs w:val="24"/>
        </w:rPr>
        <w:t xml:space="preserve">the significantly negative coefficients on </w:t>
      </w:r>
      <w:proofErr w:type="spellStart"/>
      <w:r>
        <w:rPr>
          <w:rFonts w:ascii="Times New Roman" w:hAnsi="Times New Roman" w:cs="Times New Roman"/>
          <w:sz w:val="24"/>
          <w:szCs w:val="24"/>
        </w:rPr>
        <w:t>CRp</w:t>
      </w:r>
      <w:proofErr w:type="spellEnd"/>
      <w:r>
        <w:rPr>
          <w:rFonts w:ascii="Times New Roman" w:hAnsi="Times New Roman" w:cs="Times New Roman"/>
          <w:sz w:val="24"/>
          <w:szCs w:val="24"/>
        </w:rPr>
        <w:t xml:space="preserve"> for quarters Q-8 through Q-3 indicate that </w:t>
      </w:r>
      <w:r w:rsidR="007766D5">
        <w:rPr>
          <w:rFonts w:ascii="Times New Roman" w:hAnsi="Times New Roman" w:cs="Times New Roman"/>
          <w:sz w:val="24"/>
          <w:szCs w:val="24"/>
        </w:rPr>
        <w:t xml:space="preserve">the status of </w:t>
      </w:r>
      <w:r w:rsidR="00D77DE7">
        <w:rPr>
          <w:rFonts w:ascii="Times New Roman" w:hAnsi="Times New Roman" w:cs="Times New Roman"/>
          <w:sz w:val="24"/>
          <w:szCs w:val="24"/>
        </w:rPr>
        <w:t xml:space="preserve">“+” notch firms over these quarters </w:t>
      </w:r>
      <w:r w:rsidR="007766D5">
        <w:rPr>
          <w:rFonts w:ascii="Times New Roman" w:hAnsi="Times New Roman" w:cs="Times New Roman"/>
          <w:sz w:val="24"/>
          <w:szCs w:val="24"/>
        </w:rPr>
        <w:t xml:space="preserve">is </w:t>
      </w:r>
      <w:r w:rsidR="00D77DE7">
        <w:rPr>
          <w:rFonts w:ascii="Times New Roman" w:hAnsi="Times New Roman" w:cs="Times New Roman"/>
          <w:sz w:val="24"/>
          <w:szCs w:val="24"/>
        </w:rPr>
        <w:t xml:space="preserve">likely to </w:t>
      </w:r>
      <w:r w:rsidR="007766D5">
        <w:rPr>
          <w:rFonts w:ascii="Times New Roman" w:hAnsi="Times New Roman" w:cs="Times New Roman"/>
          <w:sz w:val="24"/>
          <w:szCs w:val="24"/>
        </w:rPr>
        <w:t>play a role in the downgrade decision relative to that of “</w:t>
      </w:r>
      <w:proofErr w:type="gramStart"/>
      <w:r w:rsidR="007766D5">
        <w:rPr>
          <w:rFonts w:ascii="Times New Roman" w:hAnsi="Times New Roman" w:cs="Times New Roman"/>
          <w:sz w:val="24"/>
          <w:szCs w:val="24"/>
        </w:rPr>
        <w:t xml:space="preserve">-“ </w:t>
      </w:r>
      <w:r w:rsidR="00C32EBD">
        <w:rPr>
          <w:rFonts w:ascii="Times New Roman" w:hAnsi="Times New Roman" w:cs="Times New Roman"/>
          <w:sz w:val="24"/>
          <w:szCs w:val="24"/>
        </w:rPr>
        <w:t>notch</w:t>
      </w:r>
      <w:proofErr w:type="gramEnd"/>
      <w:r w:rsidR="00C32EBD">
        <w:rPr>
          <w:rFonts w:ascii="Times New Roman" w:hAnsi="Times New Roman" w:cs="Times New Roman"/>
          <w:sz w:val="24"/>
          <w:szCs w:val="24"/>
        </w:rPr>
        <w:t xml:space="preserve"> </w:t>
      </w:r>
      <w:r w:rsidR="00176135">
        <w:rPr>
          <w:rFonts w:ascii="Times New Roman" w:hAnsi="Times New Roman" w:cs="Times New Roman"/>
          <w:sz w:val="24"/>
          <w:szCs w:val="24"/>
        </w:rPr>
        <w:t xml:space="preserve">and non-notch </w:t>
      </w:r>
      <w:r w:rsidR="007766D5">
        <w:rPr>
          <w:rFonts w:ascii="Times New Roman" w:hAnsi="Times New Roman" w:cs="Times New Roman"/>
          <w:sz w:val="24"/>
          <w:szCs w:val="24"/>
        </w:rPr>
        <w:t xml:space="preserve">firms.  </w:t>
      </w:r>
      <w:r w:rsidR="00D77DE7">
        <w:rPr>
          <w:rFonts w:ascii="Times New Roman" w:hAnsi="Times New Roman" w:cs="Times New Roman"/>
          <w:sz w:val="24"/>
          <w:szCs w:val="24"/>
        </w:rPr>
        <w:t xml:space="preserve">The insignificant coefficients across most quarters PRE </w:t>
      </w:r>
      <w:r w:rsidR="00647871">
        <w:rPr>
          <w:rFonts w:ascii="Times New Roman" w:hAnsi="Times New Roman" w:cs="Times New Roman"/>
          <w:sz w:val="24"/>
          <w:szCs w:val="24"/>
        </w:rPr>
        <w:t>on</w:t>
      </w:r>
      <w:r w:rsidR="00D77DE7">
        <w:rPr>
          <w:rFonts w:ascii="Times New Roman" w:hAnsi="Times New Roman" w:cs="Times New Roman"/>
          <w:sz w:val="24"/>
          <w:szCs w:val="24"/>
        </w:rPr>
        <w:t xml:space="preserve"> </w:t>
      </w:r>
      <w:proofErr w:type="spellStart"/>
      <w:r w:rsidR="00D77DE7" w:rsidRPr="00D77DE7">
        <w:rPr>
          <w:rFonts w:ascii="Times New Roman" w:hAnsi="Times New Roman" w:cs="Times New Roman"/>
          <w:i/>
          <w:iCs/>
          <w:sz w:val="24"/>
          <w:szCs w:val="24"/>
        </w:rPr>
        <w:t>CRm</w:t>
      </w:r>
      <w:proofErr w:type="spellEnd"/>
      <w:r w:rsidR="00D77DE7">
        <w:rPr>
          <w:rFonts w:ascii="Times New Roman" w:hAnsi="Times New Roman" w:cs="Times New Roman"/>
          <w:sz w:val="24"/>
          <w:szCs w:val="24"/>
        </w:rPr>
        <w:t xml:space="preserve"> </w:t>
      </w:r>
      <w:r w:rsidR="007E726D">
        <w:rPr>
          <w:rFonts w:ascii="Times New Roman" w:hAnsi="Times New Roman" w:cs="Times New Roman"/>
          <w:sz w:val="24"/>
          <w:szCs w:val="24"/>
        </w:rPr>
        <w:t>indicate that</w:t>
      </w:r>
      <w:r w:rsidR="00D445A7">
        <w:rPr>
          <w:rFonts w:ascii="Times New Roman" w:hAnsi="Times New Roman" w:cs="Times New Roman"/>
          <w:sz w:val="24"/>
          <w:szCs w:val="24"/>
        </w:rPr>
        <w:t xml:space="preserve"> </w:t>
      </w:r>
      <w:r w:rsidR="00D445A7">
        <w:rPr>
          <w:rFonts w:ascii="Times New Roman" w:hAnsi="Times New Roman" w:cs="Times New Roman"/>
          <w:sz w:val="24"/>
          <w:szCs w:val="24"/>
        </w:rPr>
        <w:lastRenderedPageBreak/>
        <w:t xml:space="preserve">the status of </w:t>
      </w:r>
      <w:r w:rsidR="007766D5">
        <w:rPr>
          <w:rFonts w:ascii="Times New Roman" w:hAnsi="Times New Roman" w:cs="Times New Roman"/>
          <w:sz w:val="24"/>
          <w:szCs w:val="24"/>
        </w:rPr>
        <w:t xml:space="preserve">these </w:t>
      </w:r>
      <w:r w:rsidR="007E726D">
        <w:rPr>
          <w:rFonts w:ascii="Times New Roman" w:hAnsi="Times New Roman" w:cs="Times New Roman"/>
          <w:sz w:val="24"/>
          <w:szCs w:val="24"/>
        </w:rPr>
        <w:t>firms do</w:t>
      </w:r>
      <w:r w:rsidR="00D445A7">
        <w:rPr>
          <w:rFonts w:ascii="Times New Roman" w:hAnsi="Times New Roman" w:cs="Times New Roman"/>
          <w:sz w:val="24"/>
          <w:szCs w:val="24"/>
        </w:rPr>
        <w:t>es</w:t>
      </w:r>
      <w:r w:rsidR="007E726D">
        <w:rPr>
          <w:rFonts w:ascii="Times New Roman" w:hAnsi="Times New Roman" w:cs="Times New Roman"/>
          <w:sz w:val="24"/>
          <w:szCs w:val="24"/>
        </w:rPr>
        <w:t xml:space="preserve"> not have an impact on </w:t>
      </w:r>
      <w:r w:rsidR="00E7780D">
        <w:rPr>
          <w:rFonts w:ascii="Times New Roman" w:hAnsi="Times New Roman" w:cs="Times New Roman"/>
          <w:sz w:val="24"/>
          <w:szCs w:val="24"/>
        </w:rPr>
        <w:t xml:space="preserve">the </w:t>
      </w:r>
      <w:r w:rsidR="00FD4392">
        <w:rPr>
          <w:rFonts w:ascii="Times New Roman" w:hAnsi="Times New Roman" w:cs="Times New Roman"/>
          <w:sz w:val="24"/>
          <w:szCs w:val="24"/>
        </w:rPr>
        <w:t>probability of upgrade.</w:t>
      </w:r>
      <w:r w:rsidR="005C2194">
        <w:rPr>
          <w:rFonts w:ascii="Times New Roman" w:hAnsi="Times New Roman" w:cs="Times New Roman"/>
          <w:sz w:val="24"/>
          <w:szCs w:val="24"/>
        </w:rPr>
        <w:t xml:space="preserve">  Taken together, these results </w:t>
      </w:r>
      <w:r w:rsidR="00E7780D">
        <w:rPr>
          <w:rFonts w:ascii="Times New Roman" w:hAnsi="Times New Roman" w:cs="Times New Roman"/>
          <w:sz w:val="24"/>
          <w:szCs w:val="24"/>
        </w:rPr>
        <w:t xml:space="preserve">clearly </w:t>
      </w:r>
      <w:r w:rsidR="005C2194">
        <w:rPr>
          <w:rFonts w:ascii="Times New Roman" w:hAnsi="Times New Roman" w:cs="Times New Roman"/>
          <w:sz w:val="24"/>
          <w:szCs w:val="24"/>
        </w:rPr>
        <w:t>refute the contention of CR-CS that notch firms are associated with a higher probability of upgrade than non-notch firms.</w:t>
      </w:r>
    </w:p>
    <w:p w14:paraId="5BE72BDE" w14:textId="4E8AD743" w:rsidR="004C6AA2" w:rsidRDefault="004C6AA2" w:rsidP="00F31B50">
      <w:pPr>
        <w:spacing w:after="0" w:line="240" w:lineRule="auto"/>
        <w:ind w:firstLine="360"/>
        <w:rPr>
          <w:rFonts w:ascii="Times New Roman" w:hAnsi="Times New Roman" w:cs="Times New Roman"/>
          <w:sz w:val="24"/>
          <w:szCs w:val="24"/>
        </w:rPr>
      </w:pPr>
    </w:p>
    <w:p w14:paraId="1BA31B07" w14:textId="4DE84D10" w:rsidR="00FF2C2F" w:rsidRPr="00793F60" w:rsidRDefault="00FF2C2F" w:rsidP="00FF2C2F">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Conclusion</w:t>
      </w:r>
    </w:p>
    <w:p w14:paraId="4855158B" w14:textId="39EC6EB8" w:rsidR="004C6AA2" w:rsidRPr="004C6AA2" w:rsidRDefault="004C6AA2" w:rsidP="00F31B50">
      <w:pPr>
        <w:spacing w:after="0" w:line="240" w:lineRule="auto"/>
        <w:ind w:firstLine="360"/>
        <w:rPr>
          <w:rFonts w:ascii="Times New Roman" w:hAnsi="Times New Roman" w:cs="Times New Roman"/>
          <w:b/>
          <w:bCs/>
          <w:sz w:val="24"/>
          <w:szCs w:val="24"/>
        </w:rPr>
      </w:pPr>
    </w:p>
    <w:p w14:paraId="008AA51A" w14:textId="5D298562" w:rsidR="00713529" w:rsidRDefault="00F4201B" w:rsidP="00CB1E25">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Our study adds to the </w:t>
      </w:r>
      <w:r w:rsidR="00A928FD">
        <w:rPr>
          <w:rFonts w:ascii="Times New Roman" w:hAnsi="Times New Roman" w:cs="Times New Roman"/>
          <w:sz w:val="24"/>
          <w:szCs w:val="24"/>
        </w:rPr>
        <w:t xml:space="preserve">Capital Rationing – Capital Structure (CR-CS) hypothesis </w:t>
      </w:r>
      <w:r w:rsidR="00C30828">
        <w:rPr>
          <w:rFonts w:ascii="Times New Roman" w:hAnsi="Times New Roman" w:cs="Times New Roman"/>
          <w:sz w:val="24"/>
          <w:szCs w:val="24"/>
        </w:rPr>
        <w:t xml:space="preserve">originally developed by </w:t>
      </w:r>
      <w:proofErr w:type="spellStart"/>
      <w:r w:rsidR="00C30828">
        <w:rPr>
          <w:rFonts w:ascii="Times New Roman" w:hAnsi="Times New Roman" w:cs="Times New Roman"/>
          <w:sz w:val="24"/>
          <w:szCs w:val="24"/>
        </w:rPr>
        <w:t>Kisgen</w:t>
      </w:r>
      <w:proofErr w:type="spellEnd"/>
      <w:r w:rsidR="00C30828">
        <w:rPr>
          <w:rFonts w:ascii="Times New Roman" w:hAnsi="Times New Roman" w:cs="Times New Roman"/>
          <w:sz w:val="24"/>
          <w:szCs w:val="24"/>
        </w:rPr>
        <w:t xml:space="preserve"> (2006) </w:t>
      </w:r>
      <w:r w:rsidR="00A928FD">
        <w:rPr>
          <w:rFonts w:ascii="Times New Roman" w:hAnsi="Times New Roman" w:cs="Times New Roman"/>
          <w:sz w:val="24"/>
          <w:szCs w:val="24"/>
        </w:rPr>
        <w:t xml:space="preserve">that notch firms </w:t>
      </w:r>
      <w:r w:rsidR="00C30828">
        <w:rPr>
          <w:rFonts w:ascii="Times New Roman" w:hAnsi="Times New Roman" w:cs="Times New Roman"/>
          <w:sz w:val="24"/>
          <w:szCs w:val="24"/>
        </w:rPr>
        <w:t xml:space="preserve">relative to non-notch firms </w:t>
      </w:r>
      <w:r w:rsidR="00A928FD">
        <w:rPr>
          <w:rFonts w:ascii="Times New Roman" w:hAnsi="Times New Roman" w:cs="Times New Roman"/>
          <w:sz w:val="24"/>
          <w:szCs w:val="24"/>
        </w:rPr>
        <w:t xml:space="preserve">reduce relative net debt levels to </w:t>
      </w:r>
      <w:proofErr w:type="gramStart"/>
      <w:r w:rsidR="00C30828">
        <w:rPr>
          <w:rFonts w:ascii="Times New Roman" w:hAnsi="Times New Roman" w:cs="Times New Roman"/>
          <w:sz w:val="24"/>
          <w:szCs w:val="24"/>
        </w:rPr>
        <w:t xml:space="preserve">more successfully </w:t>
      </w:r>
      <w:r w:rsidR="00A928FD">
        <w:rPr>
          <w:rFonts w:ascii="Times New Roman" w:hAnsi="Times New Roman" w:cs="Times New Roman"/>
          <w:sz w:val="24"/>
          <w:szCs w:val="24"/>
        </w:rPr>
        <w:t xml:space="preserve">achieve </w:t>
      </w:r>
      <w:r w:rsidR="00C30828">
        <w:rPr>
          <w:rFonts w:ascii="Times New Roman" w:hAnsi="Times New Roman" w:cs="Times New Roman"/>
          <w:sz w:val="24"/>
          <w:szCs w:val="24"/>
        </w:rPr>
        <w:t>beneficial rating changes</w:t>
      </w:r>
      <w:proofErr w:type="gramEnd"/>
      <w:r w:rsidR="00C30828">
        <w:rPr>
          <w:rFonts w:ascii="Times New Roman" w:hAnsi="Times New Roman" w:cs="Times New Roman"/>
          <w:sz w:val="24"/>
          <w:szCs w:val="24"/>
        </w:rPr>
        <w:t xml:space="preserve">.  Instead of analyzing how initial year rating levels are related to subsequent net debt adjustments using annual data as </w:t>
      </w:r>
      <w:proofErr w:type="spellStart"/>
      <w:r w:rsidR="00C30828">
        <w:rPr>
          <w:rFonts w:ascii="Times New Roman" w:hAnsi="Times New Roman" w:cs="Times New Roman"/>
          <w:sz w:val="24"/>
          <w:szCs w:val="24"/>
        </w:rPr>
        <w:t>Kisgen</w:t>
      </w:r>
      <w:proofErr w:type="spellEnd"/>
      <w:r w:rsidR="00C30828">
        <w:rPr>
          <w:rFonts w:ascii="Times New Roman" w:hAnsi="Times New Roman" w:cs="Times New Roman"/>
          <w:sz w:val="24"/>
          <w:szCs w:val="24"/>
        </w:rPr>
        <w:t xml:space="preserve"> does, we use quarterly data to analyze how these adjustments are related to subsequent rating changes.  </w:t>
      </w:r>
      <w:r w:rsidR="002D6F9B">
        <w:rPr>
          <w:rFonts w:ascii="Times New Roman" w:hAnsi="Times New Roman" w:cs="Times New Roman"/>
          <w:sz w:val="24"/>
          <w:szCs w:val="24"/>
        </w:rPr>
        <w:t xml:space="preserve">Initially we do not focus on net debt structure adjustments and show that firms without and with CreditWatch </w:t>
      </w:r>
      <w:r w:rsidR="00E90E07">
        <w:rPr>
          <w:rFonts w:ascii="Times New Roman" w:hAnsi="Times New Roman" w:cs="Times New Roman"/>
          <w:sz w:val="24"/>
          <w:szCs w:val="24"/>
        </w:rPr>
        <w:t xml:space="preserve">(CW) </w:t>
      </w:r>
      <w:r w:rsidR="00E74CB4">
        <w:rPr>
          <w:rFonts w:ascii="Times New Roman" w:hAnsi="Times New Roman" w:cs="Times New Roman"/>
          <w:sz w:val="24"/>
          <w:szCs w:val="24"/>
        </w:rPr>
        <w:t xml:space="preserve">announcements </w:t>
      </w:r>
      <w:r w:rsidR="00972414">
        <w:rPr>
          <w:rFonts w:ascii="Times New Roman" w:hAnsi="Times New Roman" w:cs="Times New Roman"/>
          <w:sz w:val="24"/>
          <w:szCs w:val="24"/>
        </w:rPr>
        <w:t xml:space="preserve">both </w:t>
      </w:r>
      <w:r w:rsidR="00B277A9">
        <w:rPr>
          <w:rFonts w:ascii="Times New Roman" w:hAnsi="Times New Roman" w:cs="Times New Roman"/>
          <w:sz w:val="24"/>
          <w:szCs w:val="24"/>
        </w:rPr>
        <w:t xml:space="preserve">experience </w:t>
      </w:r>
      <w:r w:rsidR="00972414">
        <w:rPr>
          <w:rFonts w:ascii="Times New Roman" w:hAnsi="Times New Roman" w:cs="Times New Roman"/>
          <w:sz w:val="24"/>
          <w:szCs w:val="24"/>
        </w:rPr>
        <w:t xml:space="preserve">overall </w:t>
      </w:r>
      <w:r w:rsidR="00713529">
        <w:rPr>
          <w:rFonts w:ascii="Times New Roman" w:hAnsi="Times New Roman" w:cs="Times New Roman"/>
          <w:sz w:val="24"/>
          <w:szCs w:val="24"/>
        </w:rPr>
        <w:t>upgrade-to-downgrade (</w:t>
      </w:r>
      <w:r w:rsidR="00972414">
        <w:rPr>
          <w:rFonts w:ascii="Times New Roman" w:hAnsi="Times New Roman" w:cs="Times New Roman"/>
          <w:sz w:val="24"/>
          <w:szCs w:val="24"/>
        </w:rPr>
        <w:t>UP/DOWN</w:t>
      </w:r>
      <w:r w:rsidR="00713529">
        <w:rPr>
          <w:rFonts w:ascii="Times New Roman" w:hAnsi="Times New Roman" w:cs="Times New Roman"/>
          <w:sz w:val="24"/>
          <w:szCs w:val="24"/>
        </w:rPr>
        <w:t>)</w:t>
      </w:r>
      <w:r w:rsidR="00972414">
        <w:rPr>
          <w:rFonts w:ascii="Times New Roman" w:hAnsi="Times New Roman" w:cs="Times New Roman"/>
          <w:sz w:val="24"/>
          <w:szCs w:val="24"/>
        </w:rPr>
        <w:t xml:space="preserve"> ratios</w:t>
      </w:r>
      <w:r w:rsidR="00B277A9">
        <w:rPr>
          <w:rFonts w:ascii="Times New Roman" w:hAnsi="Times New Roman" w:cs="Times New Roman"/>
          <w:sz w:val="24"/>
          <w:szCs w:val="24"/>
        </w:rPr>
        <w:t xml:space="preserve"> less than one and that notch firms do not exhibit significantly higher UP/DOWN ratios than non-notch rated firms</w:t>
      </w:r>
      <w:r w:rsidR="00972414">
        <w:rPr>
          <w:rFonts w:ascii="Times New Roman" w:hAnsi="Times New Roman" w:cs="Times New Roman"/>
          <w:sz w:val="24"/>
          <w:szCs w:val="24"/>
        </w:rPr>
        <w:t xml:space="preserve"> </w:t>
      </w:r>
      <w:r w:rsidR="00A928FD">
        <w:rPr>
          <w:rFonts w:ascii="Times New Roman" w:hAnsi="Times New Roman" w:cs="Times New Roman"/>
          <w:sz w:val="24"/>
          <w:szCs w:val="24"/>
        </w:rPr>
        <w:t>across all rating categories</w:t>
      </w:r>
      <w:r w:rsidR="00E74CB4">
        <w:rPr>
          <w:rFonts w:ascii="Times New Roman" w:hAnsi="Times New Roman" w:cs="Times New Roman"/>
          <w:sz w:val="24"/>
          <w:szCs w:val="24"/>
        </w:rPr>
        <w:t xml:space="preserve">.  </w:t>
      </w:r>
      <w:r w:rsidR="00713529">
        <w:rPr>
          <w:rFonts w:ascii="Times New Roman" w:hAnsi="Times New Roman" w:cs="Times New Roman"/>
          <w:sz w:val="24"/>
          <w:szCs w:val="24"/>
        </w:rPr>
        <w:t xml:space="preserve">That is, firms without CW announcements are associated with an overall UP/DOWN ratio of .8455 with UP </w:t>
      </w:r>
      <w:proofErr w:type="gramStart"/>
      <w:r w:rsidR="00713529">
        <w:rPr>
          <w:rFonts w:ascii="Times New Roman" w:hAnsi="Times New Roman" w:cs="Times New Roman"/>
          <w:sz w:val="24"/>
          <w:szCs w:val="24"/>
        </w:rPr>
        <w:t>exceeding</w:t>
      </w:r>
      <w:proofErr w:type="gramEnd"/>
      <w:r w:rsidR="00713529">
        <w:rPr>
          <w:rFonts w:ascii="Times New Roman" w:hAnsi="Times New Roman" w:cs="Times New Roman"/>
          <w:sz w:val="24"/>
          <w:szCs w:val="24"/>
        </w:rPr>
        <w:t xml:space="preserve"> DOWN in rating categories of </w:t>
      </w:r>
      <w:r w:rsidR="00713529" w:rsidRPr="009F0057">
        <w:rPr>
          <w:rFonts w:ascii="Times New Roman" w:hAnsi="Times New Roman" w:cs="Times New Roman"/>
          <w:color w:val="000000" w:themeColor="text1"/>
          <w:sz w:val="24"/>
          <w:szCs w:val="24"/>
        </w:rPr>
        <w:t>BBB, BBB-, BB+, BB, and BB-</w:t>
      </w:r>
      <w:r w:rsidR="00713529">
        <w:rPr>
          <w:rFonts w:ascii="Times New Roman" w:hAnsi="Times New Roman" w:cs="Times New Roman"/>
          <w:color w:val="000000" w:themeColor="text1"/>
          <w:sz w:val="24"/>
          <w:szCs w:val="24"/>
        </w:rPr>
        <w:t xml:space="preserve">.  On the other hand, firms with CW announcements are associated with an overall UP/DOWN ratio of .3628 with UP </w:t>
      </w:r>
      <w:proofErr w:type="gramStart"/>
      <w:r w:rsidR="00713529">
        <w:rPr>
          <w:rFonts w:ascii="Times New Roman" w:hAnsi="Times New Roman" w:cs="Times New Roman"/>
          <w:color w:val="000000" w:themeColor="text1"/>
          <w:sz w:val="24"/>
          <w:szCs w:val="24"/>
        </w:rPr>
        <w:t>exceeding</w:t>
      </w:r>
      <w:proofErr w:type="gramEnd"/>
      <w:r w:rsidR="00713529">
        <w:rPr>
          <w:rFonts w:ascii="Times New Roman" w:hAnsi="Times New Roman" w:cs="Times New Roman"/>
          <w:color w:val="000000" w:themeColor="text1"/>
          <w:sz w:val="24"/>
          <w:szCs w:val="24"/>
        </w:rPr>
        <w:t xml:space="preserve"> DOWN in none of the rating categories.  </w:t>
      </w:r>
      <w:r w:rsidR="00E90E07">
        <w:rPr>
          <w:rFonts w:ascii="Times New Roman" w:hAnsi="Times New Roman" w:cs="Times New Roman"/>
          <w:color w:val="000000" w:themeColor="text1"/>
          <w:sz w:val="24"/>
          <w:szCs w:val="24"/>
        </w:rPr>
        <w:t xml:space="preserve">We conclude that the strength of UP/DOWN is more a function of the presence or absence of CW announcements than notch status.  </w:t>
      </w:r>
    </w:p>
    <w:p w14:paraId="61AE3E16" w14:textId="1FF5F3A1" w:rsidR="00B277A9" w:rsidRDefault="00771806" w:rsidP="00CB1E25">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When focused on net debt adjustments over the two years before (PRE) and after the rating change process, we do not detect any evidence of net debt reduction </w:t>
      </w:r>
      <w:r w:rsidR="00157F6A">
        <w:rPr>
          <w:rFonts w:ascii="Times New Roman" w:hAnsi="Times New Roman" w:cs="Times New Roman"/>
          <w:sz w:val="24"/>
          <w:szCs w:val="24"/>
        </w:rPr>
        <w:t xml:space="preserve">prior to upgrades for either notch or non-notch firms.  Prior to downgrades, however, there is </w:t>
      </w:r>
      <w:r w:rsidR="008121D5">
        <w:rPr>
          <w:rFonts w:ascii="Times New Roman" w:hAnsi="Times New Roman" w:cs="Times New Roman"/>
          <w:sz w:val="24"/>
          <w:szCs w:val="24"/>
        </w:rPr>
        <w:t xml:space="preserve">evidence of </w:t>
      </w:r>
      <w:r w:rsidR="00157F6A">
        <w:rPr>
          <w:rFonts w:ascii="Times New Roman" w:hAnsi="Times New Roman" w:cs="Times New Roman"/>
          <w:sz w:val="24"/>
          <w:szCs w:val="24"/>
        </w:rPr>
        <w:t xml:space="preserve">substantial downward movement in relative debt levels over the </w:t>
      </w:r>
      <w:r w:rsidR="008121D5">
        <w:rPr>
          <w:rFonts w:ascii="Times New Roman" w:hAnsi="Times New Roman" w:cs="Times New Roman"/>
          <w:sz w:val="24"/>
          <w:szCs w:val="24"/>
        </w:rPr>
        <w:t xml:space="preserve">most recent year </w:t>
      </w:r>
      <w:r w:rsidR="00157F6A">
        <w:rPr>
          <w:rFonts w:ascii="Times New Roman" w:hAnsi="Times New Roman" w:cs="Times New Roman"/>
          <w:sz w:val="24"/>
          <w:szCs w:val="24"/>
        </w:rPr>
        <w:t>PRE, particularly for lower-rated speculative firms, but</w:t>
      </w:r>
      <w:r w:rsidR="008121D5">
        <w:rPr>
          <w:rFonts w:ascii="Times New Roman" w:hAnsi="Times New Roman" w:cs="Times New Roman"/>
          <w:sz w:val="24"/>
          <w:szCs w:val="24"/>
        </w:rPr>
        <w:t xml:space="preserve"> </w:t>
      </w:r>
      <w:r w:rsidR="006414B6">
        <w:rPr>
          <w:rFonts w:ascii="Times New Roman" w:hAnsi="Times New Roman" w:cs="Times New Roman"/>
          <w:sz w:val="24"/>
          <w:szCs w:val="24"/>
        </w:rPr>
        <w:t xml:space="preserve">this </w:t>
      </w:r>
      <w:r w:rsidR="008121D5">
        <w:rPr>
          <w:rFonts w:ascii="Times New Roman" w:hAnsi="Times New Roman" w:cs="Times New Roman"/>
          <w:sz w:val="24"/>
          <w:szCs w:val="24"/>
        </w:rPr>
        <w:t xml:space="preserve">movement </w:t>
      </w:r>
      <w:r w:rsidR="00EC4EF1">
        <w:rPr>
          <w:rFonts w:ascii="Times New Roman" w:hAnsi="Times New Roman" w:cs="Times New Roman"/>
          <w:sz w:val="24"/>
          <w:szCs w:val="24"/>
        </w:rPr>
        <w:t xml:space="preserve">generally </w:t>
      </w:r>
      <w:r w:rsidR="008121D5">
        <w:rPr>
          <w:rFonts w:ascii="Times New Roman" w:hAnsi="Times New Roman" w:cs="Times New Roman"/>
          <w:sz w:val="24"/>
          <w:szCs w:val="24"/>
        </w:rPr>
        <w:t xml:space="preserve">does not differ between </w:t>
      </w:r>
      <w:r w:rsidR="00157F6A">
        <w:rPr>
          <w:rFonts w:ascii="Times New Roman" w:hAnsi="Times New Roman" w:cs="Times New Roman"/>
          <w:sz w:val="24"/>
          <w:szCs w:val="24"/>
        </w:rPr>
        <w:t>notch and non-notch firms</w:t>
      </w:r>
      <w:r w:rsidR="00ED22B0">
        <w:rPr>
          <w:rFonts w:ascii="Times New Roman" w:hAnsi="Times New Roman" w:cs="Times New Roman"/>
          <w:sz w:val="24"/>
          <w:szCs w:val="24"/>
        </w:rPr>
        <w:t>, or between firms without and with CW announcements.  T</w:t>
      </w:r>
      <w:r w:rsidR="00B277A9">
        <w:rPr>
          <w:rFonts w:ascii="Times New Roman" w:hAnsi="Times New Roman" w:cs="Times New Roman"/>
          <w:sz w:val="24"/>
          <w:szCs w:val="24"/>
        </w:rPr>
        <w:t xml:space="preserve">his </w:t>
      </w:r>
      <w:r w:rsidR="00ED22B0">
        <w:rPr>
          <w:rFonts w:ascii="Times New Roman" w:hAnsi="Times New Roman" w:cs="Times New Roman"/>
          <w:sz w:val="24"/>
          <w:szCs w:val="24"/>
        </w:rPr>
        <w:t xml:space="preserve">evidence </w:t>
      </w:r>
      <w:r w:rsidR="00B277A9">
        <w:rPr>
          <w:rFonts w:ascii="Times New Roman" w:hAnsi="Times New Roman" w:cs="Times New Roman"/>
          <w:sz w:val="24"/>
          <w:szCs w:val="24"/>
        </w:rPr>
        <w:t>challenge</w:t>
      </w:r>
      <w:r w:rsidR="00CE13B6">
        <w:rPr>
          <w:rFonts w:ascii="Times New Roman" w:hAnsi="Times New Roman" w:cs="Times New Roman"/>
          <w:sz w:val="24"/>
          <w:szCs w:val="24"/>
        </w:rPr>
        <w:t xml:space="preserve">s </w:t>
      </w:r>
      <w:r w:rsidR="00ED22B0">
        <w:rPr>
          <w:rFonts w:ascii="Times New Roman" w:hAnsi="Times New Roman" w:cs="Times New Roman"/>
          <w:sz w:val="24"/>
          <w:szCs w:val="24"/>
        </w:rPr>
        <w:t xml:space="preserve">the position that </w:t>
      </w:r>
      <w:r w:rsidR="00B277A9">
        <w:rPr>
          <w:rFonts w:ascii="Times New Roman" w:hAnsi="Times New Roman" w:cs="Times New Roman"/>
          <w:sz w:val="24"/>
          <w:szCs w:val="24"/>
        </w:rPr>
        <w:t xml:space="preserve">S&amp;P </w:t>
      </w:r>
      <w:r w:rsidR="00B277A9" w:rsidRPr="005052F6">
        <w:rPr>
          <w:rFonts w:ascii="Times New Roman" w:hAnsi="Times New Roman" w:cs="Times New Roman"/>
          <w:sz w:val="24"/>
          <w:szCs w:val="24"/>
        </w:rPr>
        <w:t>ha</w:t>
      </w:r>
      <w:r w:rsidR="00ED22B0">
        <w:rPr>
          <w:rFonts w:ascii="Times New Roman" w:hAnsi="Times New Roman" w:cs="Times New Roman"/>
          <w:sz w:val="24"/>
          <w:szCs w:val="24"/>
        </w:rPr>
        <w:t>s</w:t>
      </w:r>
      <w:r w:rsidR="00B277A9" w:rsidRPr="005052F6">
        <w:rPr>
          <w:rFonts w:ascii="Times New Roman" w:hAnsi="Times New Roman" w:cs="Times New Roman"/>
          <w:sz w:val="24"/>
          <w:szCs w:val="24"/>
        </w:rPr>
        <w:t xml:space="preserve"> a unique advantage in collecting, processing, and screening information </w:t>
      </w:r>
      <w:r w:rsidR="00ED22B0">
        <w:rPr>
          <w:rFonts w:ascii="Times New Roman" w:hAnsi="Times New Roman" w:cs="Times New Roman"/>
          <w:sz w:val="24"/>
          <w:szCs w:val="24"/>
        </w:rPr>
        <w:t xml:space="preserve">that is </w:t>
      </w:r>
      <w:r w:rsidR="00B277A9">
        <w:rPr>
          <w:rFonts w:ascii="Times New Roman" w:hAnsi="Times New Roman" w:cs="Times New Roman"/>
          <w:sz w:val="24"/>
          <w:szCs w:val="24"/>
        </w:rPr>
        <w:t>unique and useful to the market.</w:t>
      </w:r>
    </w:p>
    <w:p w14:paraId="506B120F" w14:textId="78F64901" w:rsidR="002C585B" w:rsidRDefault="00F441A3" w:rsidP="00CB1E25">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Finally, evidence from regression and logit models indicate</w:t>
      </w:r>
      <w:r w:rsidR="00A87D36">
        <w:rPr>
          <w:rFonts w:ascii="Times New Roman" w:hAnsi="Times New Roman" w:cs="Times New Roman"/>
          <w:sz w:val="24"/>
          <w:szCs w:val="24"/>
        </w:rPr>
        <w:t>s</w:t>
      </w:r>
      <w:r>
        <w:rPr>
          <w:rFonts w:ascii="Times New Roman" w:hAnsi="Times New Roman" w:cs="Times New Roman"/>
          <w:sz w:val="24"/>
          <w:szCs w:val="24"/>
        </w:rPr>
        <w:t xml:space="preserve"> that</w:t>
      </w:r>
      <w:r w:rsidR="0096176E">
        <w:rPr>
          <w:rFonts w:ascii="Times New Roman" w:hAnsi="Times New Roman" w:cs="Times New Roman"/>
          <w:sz w:val="24"/>
          <w:szCs w:val="24"/>
        </w:rPr>
        <w:t xml:space="preserve"> </w:t>
      </w:r>
      <w:r w:rsidR="00961088">
        <w:rPr>
          <w:rFonts w:ascii="Times New Roman" w:hAnsi="Times New Roman" w:cs="Times New Roman"/>
          <w:sz w:val="24"/>
          <w:szCs w:val="24"/>
        </w:rPr>
        <w:t xml:space="preserve">prior to the rating change </w:t>
      </w:r>
      <w:r>
        <w:rPr>
          <w:rFonts w:ascii="Times New Roman" w:hAnsi="Times New Roman" w:cs="Times New Roman"/>
          <w:sz w:val="24"/>
          <w:szCs w:val="24"/>
        </w:rPr>
        <w:t xml:space="preserve">notch firms are </w:t>
      </w:r>
      <w:r w:rsidR="00961088">
        <w:rPr>
          <w:rFonts w:ascii="Times New Roman" w:hAnsi="Times New Roman" w:cs="Times New Roman"/>
          <w:sz w:val="24"/>
          <w:szCs w:val="24"/>
        </w:rPr>
        <w:t xml:space="preserve">not </w:t>
      </w:r>
      <w:r w:rsidR="006414B6">
        <w:rPr>
          <w:rFonts w:ascii="Times New Roman" w:hAnsi="Times New Roman" w:cs="Times New Roman"/>
          <w:sz w:val="24"/>
          <w:szCs w:val="24"/>
        </w:rPr>
        <w:t xml:space="preserve">generally </w:t>
      </w:r>
      <w:r w:rsidR="00961088">
        <w:rPr>
          <w:rFonts w:ascii="Times New Roman" w:hAnsi="Times New Roman" w:cs="Times New Roman"/>
          <w:sz w:val="24"/>
          <w:szCs w:val="24"/>
        </w:rPr>
        <w:t>a</w:t>
      </w:r>
      <w:r>
        <w:rPr>
          <w:rFonts w:ascii="Times New Roman" w:hAnsi="Times New Roman" w:cs="Times New Roman"/>
          <w:sz w:val="24"/>
          <w:szCs w:val="24"/>
        </w:rPr>
        <w:t xml:space="preserve">ssociated </w:t>
      </w:r>
      <w:r w:rsidR="00961088">
        <w:rPr>
          <w:rFonts w:ascii="Times New Roman" w:hAnsi="Times New Roman" w:cs="Times New Roman"/>
          <w:sz w:val="24"/>
          <w:szCs w:val="24"/>
        </w:rPr>
        <w:t>with less net debt, greater net debt level reductions, or higher probability of upgrade</w:t>
      </w:r>
      <w:r w:rsidR="007E5C30">
        <w:rPr>
          <w:rFonts w:ascii="Times New Roman" w:hAnsi="Times New Roman" w:cs="Times New Roman"/>
          <w:sz w:val="24"/>
          <w:szCs w:val="24"/>
        </w:rPr>
        <w:t xml:space="preserve"> than non-notch firms</w:t>
      </w:r>
      <w:r w:rsidR="00961088">
        <w:rPr>
          <w:rFonts w:ascii="Times New Roman" w:hAnsi="Times New Roman" w:cs="Times New Roman"/>
          <w:sz w:val="24"/>
          <w:szCs w:val="24"/>
        </w:rPr>
        <w:t xml:space="preserve">.  </w:t>
      </w:r>
      <w:r w:rsidR="00A87D36">
        <w:rPr>
          <w:rFonts w:ascii="Times New Roman" w:hAnsi="Times New Roman" w:cs="Times New Roman"/>
          <w:sz w:val="24"/>
          <w:szCs w:val="24"/>
        </w:rPr>
        <w:t xml:space="preserve">Instead, notch </w:t>
      </w:r>
      <w:r w:rsidR="008D7C36">
        <w:rPr>
          <w:rFonts w:ascii="Times New Roman" w:hAnsi="Times New Roman" w:cs="Times New Roman"/>
          <w:sz w:val="24"/>
          <w:szCs w:val="24"/>
        </w:rPr>
        <w:t xml:space="preserve">firms </w:t>
      </w:r>
      <w:r w:rsidR="00A87D36">
        <w:rPr>
          <w:rFonts w:ascii="Times New Roman" w:hAnsi="Times New Roman" w:cs="Times New Roman"/>
          <w:sz w:val="24"/>
          <w:szCs w:val="24"/>
        </w:rPr>
        <w:t xml:space="preserve">are shown to exhibit greater net debt level increases </w:t>
      </w:r>
      <w:r w:rsidR="008D7C36">
        <w:rPr>
          <w:rFonts w:ascii="Times New Roman" w:hAnsi="Times New Roman" w:cs="Times New Roman"/>
          <w:sz w:val="24"/>
          <w:szCs w:val="24"/>
        </w:rPr>
        <w:t xml:space="preserve">beginning three quarters </w:t>
      </w:r>
      <w:r w:rsidR="00A87D36">
        <w:rPr>
          <w:rFonts w:ascii="Times New Roman" w:hAnsi="Times New Roman" w:cs="Times New Roman"/>
          <w:sz w:val="24"/>
          <w:szCs w:val="24"/>
        </w:rPr>
        <w:t xml:space="preserve">before rating changes of firms with CW </w:t>
      </w:r>
      <w:r w:rsidR="00A87D36">
        <w:rPr>
          <w:rFonts w:ascii="Times New Roman" w:hAnsi="Times New Roman" w:cs="Times New Roman"/>
          <w:sz w:val="24"/>
          <w:szCs w:val="24"/>
        </w:rPr>
        <w:lastRenderedPageBreak/>
        <w:t>announcements</w:t>
      </w:r>
      <w:r w:rsidR="003351E6">
        <w:rPr>
          <w:rFonts w:ascii="Times New Roman" w:hAnsi="Times New Roman" w:cs="Times New Roman"/>
          <w:sz w:val="24"/>
          <w:szCs w:val="24"/>
        </w:rPr>
        <w:t>, and these increases continue for firms both without and with CW announcements after the rating change.</w:t>
      </w:r>
      <w:r w:rsidR="007E5C30">
        <w:rPr>
          <w:rFonts w:ascii="Times New Roman" w:hAnsi="Times New Roman" w:cs="Times New Roman"/>
          <w:sz w:val="24"/>
          <w:szCs w:val="24"/>
        </w:rPr>
        <w:t xml:space="preserve">  </w:t>
      </w:r>
      <w:r w:rsidR="005F4F5D">
        <w:rPr>
          <w:rFonts w:ascii="Times New Roman" w:hAnsi="Times New Roman" w:cs="Times New Roman"/>
          <w:sz w:val="24"/>
          <w:szCs w:val="24"/>
        </w:rPr>
        <w:t xml:space="preserve">When accounting for the direction </w:t>
      </w:r>
      <w:r w:rsidR="009021DE" w:rsidRPr="00A257D5">
        <w:rPr>
          <w:rFonts w:ascii="Times New Roman" w:hAnsi="Times New Roman" w:cs="Times New Roman"/>
          <w:color w:val="000000" w:themeColor="text1"/>
          <w:sz w:val="24"/>
          <w:szCs w:val="24"/>
        </w:rPr>
        <w:t xml:space="preserve">and strength of the rating change, </w:t>
      </w:r>
      <w:r w:rsidR="009021DE" w:rsidRPr="00E607A0">
        <w:rPr>
          <w:rFonts w:ascii="Times New Roman" w:hAnsi="Times New Roman" w:cs="Times New Roman"/>
          <w:i/>
          <w:iCs/>
          <w:sz w:val="24"/>
          <w:szCs w:val="24"/>
        </w:rPr>
        <w:t>ΔSP</w:t>
      </w:r>
      <w:r w:rsidR="009021DE">
        <w:rPr>
          <w:rFonts w:ascii="Times New Roman" w:hAnsi="Times New Roman" w:cs="Times New Roman"/>
          <w:sz w:val="24"/>
          <w:szCs w:val="24"/>
        </w:rPr>
        <w:t xml:space="preserve">, </w:t>
      </w:r>
      <w:r w:rsidR="005F4F5D">
        <w:rPr>
          <w:rFonts w:ascii="Times New Roman" w:hAnsi="Times New Roman" w:cs="Times New Roman"/>
          <w:sz w:val="24"/>
          <w:szCs w:val="24"/>
        </w:rPr>
        <w:t xml:space="preserve">firms generally reduce </w:t>
      </w:r>
      <w:r w:rsidR="008D7C36">
        <w:rPr>
          <w:rFonts w:ascii="Times New Roman" w:hAnsi="Times New Roman" w:cs="Times New Roman"/>
          <w:sz w:val="24"/>
          <w:szCs w:val="24"/>
        </w:rPr>
        <w:t xml:space="preserve">net </w:t>
      </w:r>
      <w:r w:rsidR="005F4F5D">
        <w:rPr>
          <w:rFonts w:ascii="Times New Roman" w:hAnsi="Times New Roman" w:cs="Times New Roman"/>
          <w:sz w:val="24"/>
          <w:szCs w:val="24"/>
        </w:rPr>
        <w:t xml:space="preserve">debt levels </w:t>
      </w:r>
      <w:r w:rsidR="008D7C36">
        <w:rPr>
          <w:rFonts w:ascii="Times New Roman" w:hAnsi="Times New Roman" w:cs="Times New Roman"/>
          <w:sz w:val="24"/>
          <w:szCs w:val="24"/>
        </w:rPr>
        <w:t>when measured PRE, but increase them when measured POST r</w:t>
      </w:r>
      <w:r w:rsidR="005F4F5D">
        <w:rPr>
          <w:rFonts w:ascii="Times New Roman" w:hAnsi="Times New Roman" w:cs="Times New Roman"/>
          <w:sz w:val="24"/>
          <w:szCs w:val="24"/>
        </w:rPr>
        <w:t xml:space="preserve">egardless of the presence or absence of CW announcements.  </w:t>
      </w:r>
    </w:p>
    <w:p w14:paraId="3BC039FE" w14:textId="3AF44CBB" w:rsidR="009673C3" w:rsidRDefault="00E72147" w:rsidP="00CB1E25">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Overall, our results </w:t>
      </w:r>
      <w:r w:rsidR="00420F4F">
        <w:rPr>
          <w:rFonts w:ascii="Times New Roman" w:hAnsi="Times New Roman" w:cs="Times New Roman"/>
          <w:sz w:val="24"/>
          <w:szCs w:val="24"/>
        </w:rPr>
        <w:t>add to the</w:t>
      </w:r>
      <w:r>
        <w:rPr>
          <w:rFonts w:ascii="Times New Roman" w:hAnsi="Times New Roman" w:cs="Times New Roman"/>
          <w:sz w:val="24"/>
          <w:szCs w:val="24"/>
        </w:rPr>
        <w:t xml:space="preserve"> CR-CS</w:t>
      </w:r>
      <w:r w:rsidR="00420F4F">
        <w:rPr>
          <w:rFonts w:ascii="Times New Roman" w:hAnsi="Times New Roman" w:cs="Times New Roman"/>
          <w:sz w:val="24"/>
          <w:szCs w:val="24"/>
        </w:rPr>
        <w:t xml:space="preserve"> literature</w:t>
      </w:r>
      <w:r>
        <w:rPr>
          <w:rFonts w:ascii="Times New Roman" w:hAnsi="Times New Roman" w:cs="Times New Roman"/>
          <w:sz w:val="24"/>
          <w:szCs w:val="24"/>
        </w:rPr>
        <w:t>.  We believe our results differ from those</w:t>
      </w:r>
      <w:r w:rsidR="007A2E4D">
        <w:rPr>
          <w:rFonts w:ascii="Times New Roman" w:hAnsi="Times New Roman" w:cs="Times New Roman"/>
          <w:sz w:val="24"/>
          <w:szCs w:val="24"/>
        </w:rPr>
        <w:t xml:space="preserve"> previous and </w:t>
      </w:r>
      <w:r w:rsidR="005516DB">
        <w:rPr>
          <w:rFonts w:ascii="Times New Roman" w:hAnsi="Times New Roman" w:cs="Times New Roman"/>
          <w:sz w:val="24"/>
          <w:szCs w:val="24"/>
        </w:rPr>
        <w:t xml:space="preserve">for a more accurate view of net debt adjustments over time surrounding the rating change process.  Using quarterly rather than annual data, we </w:t>
      </w:r>
      <w:proofErr w:type="gramStart"/>
      <w:r w:rsidR="005516DB">
        <w:rPr>
          <w:rFonts w:ascii="Times New Roman" w:hAnsi="Times New Roman" w:cs="Times New Roman"/>
          <w:sz w:val="24"/>
          <w:szCs w:val="24"/>
        </w:rPr>
        <w:t>are able to</w:t>
      </w:r>
      <w:proofErr w:type="gramEnd"/>
      <w:r w:rsidR="005516DB">
        <w:rPr>
          <w:rFonts w:ascii="Times New Roman" w:hAnsi="Times New Roman" w:cs="Times New Roman"/>
          <w:sz w:val="24"/>
          <w:szCs w:val="24"/>
        </w:rPr>
        <w:t xml:space="preserve"> test what CR-CS actually claims</w:t>
      </w:r>
      <w:r w:rsidR="00E256F1">
        <w:rPr>
          <w:rFonts w:ascii="Times New Roman" w:hAnsi="Times New Roman" w:cs="Times New Roman"/>
          <w:sz w:val="24"/>
          <w:szCs w:val="24"/>
        </w:rPr>
        <w:t xml:space="preserve"> with less noise.  Firms generally do decrease net debt levels in anticipation of rating changes, but this reduction is not explained by notch status</w:t>
      </w:r>
      <w:r w:rsidR="00A72F80">
        <w:rPr>
          <w:rFonts w:ascii="Times New Roman" w:hAnsi="Times New Roman" w:cs="Times New Roman"/>
          <w:sz w:val="24"/>
          <w:szCs w:val="24"/>
        </w:rPr>
        <w:t xml:space="preserve"> and the rating change is not what the firm would usually prefer</w:t>
      </w:r>
      <w:r w:rsidR="00E256F1">
        <w:rPr>
          <w:rFonts w:ascii="Times New Roman" w:hAnsi="Times New Roman" w:cs="Times New Roman"/>
          <w:sz w:val="24"/>
          <w:szCs w:val="24"/>
        </w:rPr>
        <w:t>.</w:t>
      </w:r>
      <w:r w:rsidR="00240F7B">
        <w:rPr>
          <w:rFonts w:ascii="Times New Roman" w:hAnsi="Times New Roman" w:cs="Times New Roman"/>
          <w:sz w:val="24"/>
          <w:szCs w:val="24"/>
        </w:rPr>
        <w:t xml:space="preserve">  </w:t>
      </w:r>
      <w:r w:rsidR="00A72F80">
        <w:rPr>
          <w:rFonts w:ascii="Times New Roman" w:hAnsi="Times New Roman" w:cs="Times New Roman"/>
          <w:sz w:val="24"/>
          <w:szCs w:val="24"/>
        </w:rPr>
        <w:t xml:space="preserve">The question of why there is generally no difference between notch and non-notch firms in terms of </w:t>
      </w:r>
      <w:r w:rsidR="009673C3">
        <w:rPr>
          <w:rFonts w:ascii="Times New Roman" w:hAnsi="Times New Roman" w:cs="Times New Roman"/>
          <w:sz w:val="24"/>
          <w:szCs w:val="24"/>
        </w:rPr>
        <w:t xml:space="preserve">relative </w:t>
      </w:r>
      <w:r w:rsidR="00A400AE">
        <w:rPr>
          <w:rFonts w:ascii="Times New Roman" w:hAnsi="Times New Roman" w:cs="Times New Roman"/>
          <w:sz w:val="24"/>
          <w:szCs w:val="24"/>
        </w:rPr>
        <w:t>rating change</w:t>
      </w:r>
      <w:r w:rsidR="009673C3">
        <w:rPr>
          <w:rFonts w:ascii="Times New Roman" w:hAnsi="Times New Roman" w:cs="Times New Roman"/>
          <w:sz w:val="24"/>
          <w:szCs w:val="24"/>
        </w:rPr>
        <w:t xml:space="preserve"> strength or PRE net debt changes for firms </w:t>
      </w:r>
      <w:r w:rsidR="008E52E6">
        <w:rPr>
          <w:rFonts w:ascii="Times New Roman" w:hAnsi="Times New Roman" w:cs="Times New Roman"/>
          <w:sz w:val="24"/>
          <w:szCs w:val="24"/>
        </w:rPr>
        <w:t xml:space="preserve">without CW announcements is of keen interest because </w:t>
      </w:r>
      <w:r w:rsidR="00821E88">
        <w:rPr>
          <w:rFonts w:ascii="Times New Roman" w:hAnsi="Times New Roman" w:cs="Times New Roman"/>
          <w:sz w:val="24"/>
          <w:szCs w:val="24"/>
        </w:rPr>
        <w:t xml:space="preserve">is compares most directly to the sample used by </w:t>
      </w:r>
      <w:proofErr w:type="spellStart"/>
      <w:r w:rsidR="008E52E6">
        <w:rPr>
          <w:rFonts w:ascii="Times New Roman" w:hAnsi="Times New Roman" w:cs="Times New Roman"/>
          <w:sz w:val="24"/>
          <w:szCs w:val="24"/>
        </w:rPr>
        <w:t>Kisgen</w:t>
      </w:r>
      <w:proofErr w:type="spellEnd"/>
      <w:r w:rsidR="008E52E6">
        <w:rPr>
          <w:rFonts w:ascii="Times New Roman" w:hAnsi="Times New Roman" w:cs="Times New Roman"/>
          <w:sz w:val="24"/>
          <w:szCs w:val="24"/>
        </w:rPr>
        <w:t xml:space="preserve"> (2006).  </w:t>
      </w:r>
      <w:r w:rsidR="002C0C4D">
        <w:rPr>
          <w:rFonts w:ascii="Times New Roman" w:hAnsi="Times New Roman" w:cs="Times New Roman"/>
          <w:sz w:val="24"/>
          <w:szCs w:val="24"/>
        </w:rPr>
        <w:t>O</w:t>
      </w:r>
      <w:r w:rsidR="00F52AD6">
        <w:rPr>
          <w:rFonts w:ascii="Times New Roman" w:hAnsi="Times New Roman" w:cs="Times New Roman"/>
          <w:sz w:val="24"/>
          <w:szCs w:val="24"/>
        </w:rPr>
        <w:t xml:space="preserve">ur results </w:t>
      </w:r>
      <w:r w:rsidR="002C0C4D">
        <w:rPr>
          <w:rFonts w:ascii="Times New Roman" w:hAnsi="Times New Roman" w:cs="Times New Roman"/>
          <w:sz w:val="24"/>
          <w:szCs w:val="24"/>
        </w:rPr>
        <w:t xml:space="preserve">in addressing this question </w:t>
      </w:r>
      <w:r w:rsidR="00F52AD6">
        <w:rPr>
          <w:rFonts w:ascii="Times New Roman" w:hAnsi="Times New Roman" w:cs="Times New Roman"/>
          <w:sz w:val="24"/>
          <w:szCs w:val="24"/>
        </w:rPr>
        <w:t xml:space="preserve">suggest that the methodology </w:t>
      </w:r>
      <w:r w:rsidR="002C0C4D">
        <w:rPr>
          <w:rFonts w:ascii="Times New Roman" w:hAnsi="Times New Roman" w:cs="Times New Roman"/>
          <w:sz w:val="24"/>
          <w:szCs w:val="24"/>
        </w:rPr>
        <w:t xml:space="preserve">used in </w:t>
      </w:r>
      <w:r w:rsidR="00F52AD6">
        <w:rPr>
          <w:rFonts w:ascii="Times New Roman" w:hAnsi="Times New Roman" w:cs="Times New Roman"/>
          <w:sz w:val="24"/>
          <w:szCs w:val="24"/>
        </w:rPr>
        <w:t xml:space="preserve">determining the direction and strength of the rating change by S&amp;P does </w:t>
      </w:r>
      <w:r w:rsidR="008C6792">
        <w:rPr>
          <w:rFonts w:ascii="Times New Roman" w:hAnsi="Times New Roman" w:cs="Times New Roman"/>
          <w:sz w:val="24"/>
          <w:szCs w:val="24"/>
        </w:rPr>
        <w:t xml:space="preserve">not depend on the initial </w:t>
      </w:r>
      <w:r w:rsidR="00F52AD6">
        <w:rPr>
          <w:rFonts w:ascii="Times New Roman" w:hAnsi="Times New Roman" w:cs="Times New Roman"/>
          <w:sz w:val="24"/>
          <w:szCs w:val="24"/>
        </w:rPr>
        <w:t xml:space="preserve">notch </w:t>
      </w:r>
      <w:r w:rsidR="008C6792">
        <w:rPr>
          <w:rFonts w:ascii="Times New Roman" w:hAnsi="Times New Roman" w:cs="Times New Roman"/>
          <w:sz w:val="24"/>
          <w:szCs w:val="24"/>
        </w:rPr>
        <w:t>status of the firm rating.</w:t>
      </w:r>
      <w:r w:rsidR="00606B25">
        <w:rPr>
          <w:rFonts w:ascii="Times New Roman" w:hAnsi="Times New Roman" w:cs="Times New Roman"/>
          <w:sz w:val="24"/>
          <w:szCs w:val="24"/>
        </w:rPr>
        <w:t xml:space="preserve">  Further, PRE net debt adjustments intended to influence the direction and strength of the rating change is not a function of notch status.  That is, firms prefer beneficial rating changes, but this preference is no stronger with notch firms than non-notch firms.</w:t>
      </w:r>
    </w:p>
    <w:p w14:paraId="415F0051" w14:textId="2B3138FA" w:rsidR="00E72147" w:rsidRDefault="00A72F80" w:rsidP="00CB1E25">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p>
    <w:p w14:paraId="4D45ECCD" w14:textId="1B5BA234" w:rsidR="002C585B" w:rsidRDefault="002C585B" w:rsidP="00B277A9">
      <w:pPr>
        <w:spacing w:after="0" w:line="240" w:lineRule="auto"/>
        <w:ind w:firstLine="360"/>
        <w:rPr>
          <w:rFonts w:ascii="Times New Roman" w:hAnsi="Times New Roman" w:cs="Times New Roman"/>
          <w:sz w:val="24"/>
          <w:szCs w:val="24"/>
        </w:rPr>
      </w:pPr>
    </w:p>
    <w:p w14:paraId="256A5BAA" w14:textId="7C4B5A20" w:rsidR="006414B6" w:rsidRDefault="006414B6" w:rsidP="00B277A9">
      <w:pPr>
        <w:spacing w:after="0" w:line="240" w:lineRule="auto"/>
        <w:ind w:firstLine="360"/>
        <w:rPr>
          <w:rFonts w:ascii="Times New Roman" w:hAnsi="Times New Roman" w:cs="Times New Roman"/>
          <w:sz w:val="24"/>
          <w:szCs w:val="24"/>
        </w:rPr>
      </w:pPr>
    </w:p>
    <w:p w14:paraId="71CD87DD" w14:textId="74E22E6E" w:rsidR="006414B6" w:rsidRDefault="006414B6" w:rsidP="00B277A9">
      <w:pPr>
        <w:spacing w:after="0" w:line="240" w:lineRule="auto"/>
        <w:ind w:firstLine="360"/>
        <w:rPr>
          <w:rFonts w:ascii="Times New Roman" w:hAnsi="Times New Roman" w:cs="Times New Roman"/>
          <w:sz w:val="24"/>
          <w:szCs w:val="24"/>
        </w:rPr>
      </w:pPr>
    </w:p>
    <w:p w14:paraId="241C29A0" w14:textId="677595BF" w:rsidR="006414B6" w:rsidRDefault="006414B6" w:rsidP="00B277A9">
      <w:pPr>
        <w:spacing w:after="0" w:line="240" w:lineRule="auto"/>
        <w:ind w:firstLine="360"/>
        <w:rPr>
          <w:rFonts w:ascii="Times New Roman" w:hAnsi="Times New Roman" w:cs="Times New Roman"/>
          <w:sz w:val="24"/>
          <w:szCs w:val="24"/>
        </w:rPr>
      </w:pPr>
    </w:p>
    <w:p w14:paraId="24FEAA30" w14:textId="58D3B932" w:rsidR="006414B6" w:rsidRDefault="006414B6" w:rsidP="00B277A9">
      <w:pPr>
        <w:spacing w:after="0" w:line="240" w:lineRule="auto"/>
        <w:ind w:firstLine="360"/>
        <w:rPr>
          <w:rFonts w:ascii="Times New Roman" w:hAnsi="Times New Roman" w:cs="Times New Roman"/>
          <w:sz w:val="24"/>
          <w:szCs w:val="24"/>
        </w:rPr>
      </w:pPr>
    </w:p>
    <w:p w14:paraId="4D749120" w14:textId="1378DA9A" w:rsidR="006414B6" w:rsidRDefault="006414B6" w:rsidP="00B277A9">
      <w:pPr>
        <w:spacing w:after="0" w:line="240" w:lineRule="auto"/>
        <w:ind w:firstLine="360"/>
        <w:rPr>
          <w:rFonts w:ascii="Times New Roman" w:hAnsi="Times New Roman" w:cs="Times New Roman"/>
          <w:sz w:val="24"/>
          <w:szCs w:val="24"/>
        </w:rPr>
      </w:pPr>
    </w:p>
    <w:p w14:paraId="1E671213" w14:textId="732D2B5B" w:rsidR="004F3647" w:rsidRDefault="004F3647" w:rsidP="00B277A9">
      <w:pPr>
        <w:spacing w:after="0" w:line="240" w:lineRule="auto"/>
        <w:ind w:firstLine="360"/>
        <w:rPr>
          <w:rFonts w:ascii="Times New Roman" w:hAnsi="Times New Roman" w:cs="Times New Roman"/>
          <w:sz w:val="24"/>
          <w:szCs w:val="24"/>
        </w:rPr>
      </w:pPr>
    </w:p>
    <w:p w14:paraId="26E534B3" w14:textId="42238D92" w:rsidR="004F3647" w:rsidRDefault="004F3647" w:rsidP="00B277A9">
      <w:pPr>
        <w:spacing w:after="0" w:line="240" w:lineRule="auto"/>
        <w:ind w:firstLine="360"/>
        <w:rPr>
          <w:rFonts w:ascii="Times New Roman" w:hAnsi="Times New Roman" w:cs="Times New Roman"/>
          <w:sz w:val="24"/>
          <w:szCs w:val="24"/>
        </w:rPr>
      </w:pPr>
    </w:p>
    <w:p w14:paraId="68FAEC02" w14:textId="7D3CFDFC" w:rsidR="004F3647" w:rsidRDefault="004F3647" w:rsidP="00B277A9">
      <w:pPr>
        <w:spacing w:after="0" w:line="240" w:lineRule="auto"/>
        <w:ind w:firstLine="360"/>
        <w:rPr>
          <w:rFonts w:ascii="Times New Roman" w:hAnsi="Times New Roman" w:cs="Times New Roman"/>
          <w:sz w:val="24"/>
          <w:szCs w:val="24"/>
        </w:rPr>
      </w:pPr>
    </w:p>
    <w:p w14:paraId="27E8B704" w14:textId="25C1E1B5" w:rsidR="004F3647" w:rsidRDefault="004F3647" w:rsidP="00B277A9">
      <w:pPr>
        <w:spacing w:after="0" w:line="240" w:lineRule="auto"/>
        <w:ind w:firstLine="360"/>
        <w:rPr>
          <w:rFonts w:ascii="Times New Roman" w:hAnsi="Times New Roman" w:cs="Times New Roman"/>
          <w:sz w:val="24"/>
          <w:szCs w:val="24"/>
        </w:rPr>
      </w:pPr>
    </w:p>
    <w:p w14:paraId="19FC9AA6" w14:textId="0AC58722" w:rsidR="004F3647" w:rsidRDefault="004F3647" w:rsidP="00B277A9">
      <w:pPr>
        <w:spacing w:after="0" w:line="240" w:lineRule="auto"/>
        <w:ind w:firstLine="360"/>
        <w:rPr>
          <w:rFonts w:ascii="Times New Roman" w:hAnsi="Times New Roman" w:cs="Times New Roman"/>
          <w:sz w:val="24"/>
          <w:szCs w:val="24"/>
        </w:rPr>
      </w:pPr>
    </w:p>
    <w:p w14:paraId="56DDD900" w14:textId="17DAB0F1" w:rsidR="004F3647" w:rsidRDefault="004F3647" w:rsidP="00B277A9">
      <w:pPr>
        <w:spacing w:after="0" w:line="240" w:lineRule="auto"/>
        <w:ind w:firstLine="360"/>
        <w:rPr>
          <w:rFonts w:ascii="Times New Roman" w:hAnsi="Times New Roman" w:cs="Times New Roman"/>
          <w:sz w:val="24"/>
          <w:szCs w:val="24"/>
        </w:rPr>
      </w:pPr>
    </w:p>
    <w:p w14:paraId="3BC2BC28" w14:textId="38B9239F" w:rsidR="004F3647" w:rsidRDefault="004F3647" w:rsidP="00B277A9">
      <w:pPr>
        <w:spacing w:after="0" w:line="240" w:lineRule="auto"/>
        <w:ind w:firstLine="360"/>
        <w:rPr>
          <w:rFonts w:ascii="Times New Roman" w:hAnsi="Times New Roman" w:cs="Times New Roman"/>
          <w:sz w:val="24"/>
          <w:szCs w:val="24"/>
        </w:rPr>
      </w:pPr>
    </w:p>
    <w:p w14:paraId="3198637A" w14:textId="3E2D1B8F" w:rsidR="004F3647" w:rsidRDefault="004F3647" w:rsidP="00B277A9">
      <w:pPr>
        <w:spacing w:after="0" w:line="240" w:lineRule="auto"/>
        <w:ind w:firstLine="360"/>
        <w:rPr>
          <w:rFonts w:ascii="Times New Roman" w:hAnsi="Times New Roman" w:cs="Times New Roman"/>
          <w:sz w:val="24"/>
          <w:szCs w:val="24"/>
        </w:rPr>
      </w:pPr>
    </w:p>
    <w:p w14:paraId="6387076D" w14:textId="4E34CF91" w:rsidR="004F3647" w:rsidRDefault="004F3647" w:rsidP="00B277A9">
      <w:pPr>
        <w:spacing w:after="0" w:line="240" w:lineRule="auto"/>
        <w:ind w:firstLine="360"/>
        <w:rPr>
          <w:rFonts w:ascii="Times New Roman" w:hAnsi="Times New Roman" w:cs="Times New Roman"/>
          <w:sz w:val="24"/>
          <w:szCs w:val="24"/>
        </w:rPr>
      </w:pPr>
    </w:p>
    <w:p w14:paraId="5B0BC7E3" w14:textId="6E0043FA" w:rsidR="004F3647" w:rsidRDefault="004F3647" w:rsidP="00B277A9">
      <w:pPr>
        <w:spacing w:after="0" w:line="240" w:lineRule="auto"/>
        <w:ind w:firstLine="360"/>
        <w:rPr>
          <w:rFonts w:ascii="Times New Roman" w:hAnsi="Times New Roman" w:cs="Times New Roman"/>
          <w:sz w:val="24"/>
          <w:szCs w:val="24"/>
        </w:rPr>
      </w:pPr>
    </w:p>
    <w:p w14:paraId="1B3CB8F8" w14:textId="0390D259" w:rsidR="004F3647" w:rsidRDefault="004F3647" w:rsidP="00B277A9">
      <w:pPr>
        <w:spacing w:after="0" w:line="240" w:lineRule="auto"/>
        <w:ind w:firstLine="360"/>
        <w:rPr>
          <w:rFonts w:ascii="Times New Roman" w:hAnsi="Times New Roman" w:cs="Times New Roman"/>
          <w:sz w:val="24"/>
          <w:szCs w:val="24"/>
        </w:rPr>
      </w:pPr>
    </w:p>
    <w:p w14:paraId="65E2420C" w14:textId="08C3FADC" w:rsidR="004F3647" w:rsidRDefault="004F3647" w:rsidP="00B277A9">
      <w:pPr>
        <w:spacing w:after="0" w:line="240" w:lineRule="auto"/>
        <w:ind w:firstLine="360"/>
        <w:rPr>
          <w:rFonts w:ascii="Times New Roman" w:hAnsi="Times New Roman" w:cs="Times New Roman"/>
          <w:sz w:val="24"/>
          <w:szCs w:val="24"/>
        </w:rPr>
      </w:pPr>
    </w:p>
    <w:p w14:paraId="617B7441" w14:textId="60570FBA" w:rsidR="00420F4F" w:rsidRDefault="00420F4F" w:rsidP="00B277A9">
      <w:pPr>
        <w:spacing w:after="0" w:line="240" w:lineRule="auto"/>
        <w:ind w:firstLine="360"/>
        <w:rPr>
          <w:rFonts w:ascii="Times New Roman" w:hAnsi="Times New Roman" w:cs="Times New Roman"/>
          <w:sz w:val="24"/>
          <w:szCs w:val="24"/>
        </w:rPr>
      </w:pPr>
    </w:p>
    <w:p w14:paraId="070344EA" w14:textId="77777777" w:rsidR="00420F4F" w:rsidRDefault="00420F4F" w:rsidP="00B277A9">
      <w:pPr>
        <w:spacing w:after="0" w:line="240" w:lineRule="auto"/>
        <w:ind w:firstLine="360"/>
        <w:rPr>
          <w:rFonts w:ascii="Times New Roman" w:hAnsi="Times New Roman" w:cs="Times New Roman"/>
          <w:sz w:val="24"/>
          <w:szCs w:val="24"/>
        </w:rPr>
      </w:pPr>
    </w:p>
    <w:p w14:paraId="67A92550" w14:textId="5F095696" w:rsidR="004F3647" w:rsidRDefault="004F3647" w:rsidP="00B277A9">
      <w:pPr>
        <w:spacing w:after="0" w:line="240" w:lineRule="auto"/>
        <w:ind w:firstLine="360"/>
        <w:rPr>
          <w:rFonts w:ascii="Times New Roman" w:hAnsi="Times New Roman" w:cs="Times New Roman"/>
          <w:sz w:val="24"/>
          <w:szCs w:val="24"/>
        </w:rPr>
      </w:pPr>
    </w:p>
    <w:p w14:paraId="044BA13F" w14:textId="64759ED0" w:rsidR="004F3647" w:rsidRDefault="004F3647" w:rsidP="00B277A9">
      <w:pPr>
        <w:spacing w:after="0" w:line="240" w:lineRule="auto"/>
        <w:ind w:firstLine="360"/>
        <w:rPr>
          <w:rFonts w:ascii="Times New Roman" w:hAnsi="Times New Roman" w:cs="Times New Roman"/>
          <w:sz w:val="24"/>
          <w:szCs w:val="24"/>
        </w:rPr>
      </w:pPr>
    </w:p>
    <w:p w14:paraId="0F5A82DB" w14:textId="1E5AD79D" w:rsidR="004F3647" w:rsidRDefault="004F3647" w:rsidP="00B277A9">
      <w:pPr>
        <w:spacing w:after="0" w:line="240" w:lineRule="auto"/>
        <w:ind w:firstLine="360"/>
        <w:rPr>
          <w:rFonts w:ascii="Times New Roman" w:hAnsi="Times New Roman" w:cs="Times New Roman"/>
          <w:sz w:val="24"/>
          <w:szCs w:val="24"/>
        </w:rPr>
      </w:pPr>
    </w:p>
    <w:p w14:paraId="1E0E6386" w14:textId="290CDC14" w:rsidR="004F3647" w:rsidRDefault="004F3647" w:rsidP="00B277A9">
      <w:pPr>
        <w:spacing w:after="0" w:line="240" w:lineRule="auto"/>
        <w:ind w:firstLine="360"/>
        <w:rPr>
          <w:rFonts w:ascii="Times New Roman" w:hAnsi="Times New Roman" w:cs="Times New Roman"/>
          <w:sz w:val="24"/>
          <w:szCs w:val="24"/>
        </w:rPr>
      </w:pPr>
    </w:p>
    <w:p w14:paraId="78602227" w14:textId="2B40310D" w:rsidR="00FD297B" w:rsidRDefault="00FD297B" w:rsidP="00FD297B">
      <w:pPr>
        <w:spacing w:after="0" w:line="240" w:lineRule="auto"/>
        <w:ind w:firstLine="360"/>
        <w:jc w:val="center"/>
        <w:rPr>
          <w:rFonts w:ascii="Times New Roman" w:hAnsi="Times New Roman" w:cs="Times New Roman"/>
          <w:sz w:val="24"/>
          <w:szCs w:val="24"/>
        </w:rPr>
      </w:pPr>
      <w:r w:rsidRPr="00FD297B">
        <w:rPr>
          <w:rFonts w:ascii="Times New Roman" w:hAnsi="Times New Roman" w:cs="Times New Roman"/>
          <w:b/>
          <w:sz w:val="24"/>
          <w:szCs w:val="24"/>
        </w:rPr>
        <w:t>References</w:t>
      </w:r>
    </w:p>
    <w:p w14:paraId="1533F3E2" w14:textId="77777777" w:rsidR="00FD297B" w:rsidRDefault="00FD297B" w:rsidP="00040663">
      <w:pPr>
        <w:spacing w:after="0" w:line="240" w:lineRule="auto"/>
        <w:ind w:firstLine="360"/>
        <w:rPr>
          <w:rFonts w:ascii="Times New Roman" w:hAnsi="Times New Roman" w:cs="Times New Roman"/>
          <w:sz w:val="24"/>
          <w:szCs w:val="24"/>
        </w:rPr>
      </w:pPr>
    </w:p>
    <w:p w14:paraId="5D9029FD" w14:textId="4BED2F58" w:rsidR="00292F4F" w:rsidRDefault="00FD297B" w:rsidP="00292F4F">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Altman, E</w:t>
      </w:r>
      <w:r w:rsidR="00292F4F">
        <w:rPr>
          <w:rFonts w:ascii="Times New Roman" w:hAnsi="Times New Roman" w:cs="Times New Roman"/>
          <w:sz w:val="24"/>
          <w:szCs w:val="24"/>
        </w:rPr>
        <w:t>dward I</w:t>
      </w:r>
      <w:r w:rsidRPr="00FD297B">
        <w:rPr>
          <w:rFonts w:ascii="Times New Roman" w:hAnsi="Times New Roman" w:cs="Times New Roman"/>
          <w:sz w:val="24"/>
          <w:szCs w:val="24"/>
        </w:rPr>
        <w:t>.</w:t>
      </w:r>
      <w:r w:rsidR="00292F4F">
        <w:rPr>
          <w:rFonts w:ascii="Times New Roman" w:hAnsi="Times New Roman" w:cs="Times New Roman"/>
          <w:sz w:val="24"/>
          <w:szCs w:val="24"/>
        </w:rPr>
        <w:t>,</w:t>
      </w:r>
      <w:r w:rsidRPr="00FD297B">
        <w:rPr>
          <w:rFonts w:ascii="Times New Roman" w:hAnsi="Times New Roman" w:cs="Times New Roman"/>
          <w:sz w:val="24"/>
          <w:szCs w:val="24"/>
        </w:rPr>
        <w:t xml:space="preserve"> and </w:t>
      </w:r>
      <w:r w:rsidR="00292F4F">
        <w:rPr>
          <w:rFonts w:ascii="Times New Roman" w:hAnsi="Times New Roman" w:cs="Times New Roman"/>
          <w:sz w:val="24"/>
          <w:szCs w:val="24"/>
        </w:rPr>
        <w:t xml:space="preserve">Herbert A. </w:t>
      </w:r>
      <w:proofErr w:type="spellStart"/>
      <w:r w:rsidR="00292F4F">
        <w:rPr>
          <w:rFonts w:ascii="Times New Roman" w:hAnsi="Times New Roman" w:cs="Times New Roman"/>
          <w:sz w:val="24"/>
          <w:szCs w:val="24"/>
        </w:rPr>
        <w:t>Rijken</w:t>
      </w:r>
      <w:proofErr w:type="spellEnd"/>
      <w:r w:rsidR="00292F4F">
        <w:rPr>
          <w:rFonts w:ascii="Times New Roman" w:hAnsi="Times New Roman" w:cs="Times New Roman"/>
          <w:sz w:val="24"/>
          <w:szCs w:val="24"/>
        </w:rPr>
        <w:t xml:space="preserve">, 2004, </w:t>
      </w:r>
      <w:r w:rsidRPr="00FD297B">
        <w:rPr>
          <w:rFonts w:ascii="Times New Roman" w:hAnsi="Times New Roman" w:cs="Times New Roman"/>
          <w:sz w:val="24"/>
          <w:szCs w:val="24"/>
        </w:rPr>
        <w:t>How</w:t>
      </w:r>
      <w:r w:rsidR="00EB2B6D">
        <w:rPr>
          <w:rFonts w:ascii="Times New Roman" w:hAnsi="Times New Roman" w:cs="Times New Roman"/>
          <w:sz w:val="24"/>
          <w:szCs w:val="24"/>
        </w:rPr>
        <w:t xml:space="preserve"> rating a</w:t>
      </w:r>
      <w:r w:rsidRPr="00FD297B">
        <w:rPr>
          <w:rFonts w:ascii="Times New Roman" w:hAnsi="Times New Roman" w:cs="Times New Roman"/>
          <w:sz w:val="24"/>
          <w:szCs w:val="24"/>
        </w:rPr>
        <w:t>g</w:t>
      </w:r>
      <w:r w:rsidR="00EB2B6D">
        <w:rPr>
          <w:rFonts w:ascii="Times New Roman" w:hAnsi="Times New Roman" w:cs="Times New Roman"/>
          <w:sz w:val="24"/>
          <w:szCs w:val="24"/>
        </w:rPr>
        <w:t>encies achieve r</w:t>
      </w:r>
      <w:r w:rsidR="00292F4F">
        <w:rPr>
          <w:rFonts w:ascii="Times New Roman" w:hAnsi="Times New Roman" w:cs="Times New Roman"/>
          <w:sz w:val="24"/>
          <w:szCs w:val="24"/>
        </w:rPr>
        <w:t>ating</w:t>
      </w:r>
    </w:p>
    <w:p w14:paraId="32921DDA" w14:textId="1D1489A8" w:rsidR="00FD297B" w:rsidRPr="00FD297B" w:rsidRDefault="00292F4F" w:rsidP="00292F4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B2B6D">
        <w:rPr>
          <w:rFonts w:ascii="Times New Roman" w:hAnsi="Times New Roman" w:cs="Times New Roman"/>
          <w:sz w:val="24"/>
          <w:szCs w:val="24"/>
        </w:rPr>
        <w:t>s</w:t>
      </w:r>
      <w:r>
        <w:rPr>
          <w:rFonts w:ascii="Times New Roman" w:hAnsi="Times New Roman" w:cs="Times New Roman"/>
          <w:sz w:val="24"/>
          <w:szCs w:val="24"/>
        </w:rPr>
        <w:t>tability,</w:t>
      </w:r>
      <w:r w:rsidR="00FD297B" w:rsidRPr="00FD297B">
        <w:rPr>
          <w:rFonts w:ascii="Times New Roman" w:hAnsi="Times New Roman" w:cs="Times New Roman"/>
          <w:sz w:val="24"/>
          <w:szCs w:val="24"/>
        </w:rPr>
        <w:t xml:space="preserve"> </w:t>
      </w:r>
      <w:r w:rsidR="00FD297B" w:rsidRPr="00292F4F">
        <w:rPr>
          <w:rFonts w:ascii="Times New Roman" w:hAnsi="Times New Roman" w:cs="Times New Roman"/>
          <w:i/>
          <w:sz w:val="24"/>
          <w:szCs w:val="24"/>
        </w:rPr>
        <w:t>Journal of Banking and Finance</w:t>
      </w:r>
      <w:r w:rsidR="00FD297B" w:rsidRPr="00FD297B">
        <w:rPr>
          <w:rFonts w:ascii="Times New Roman" w:hAnsi="Times New Roman" w:cs="Times New Roman"/>
          <w:sz w:val="24"/>
          <w:szCs w:val="24"/>
        </w:rPr>
        <w:t>,</w:t>
      </w:r>
      <w:r>
        <w:rPr>
          <w:rFonts w:ascii="Times New Roman" w:hAnsi="Times New Roman" w:cs="Times New Roman"/>
          <w:sz w:val="24"/>
          <w:szCs w:val="24"/>
        </w:rPr>
        <w:t xml:space="preserve"> </w:t>
      </w:r>
      <w:r w:rsidR="00FD297B" w:rsidRPr="00FD297B">
        <w:rPr>
          <w:rFonts w:ascii="Times New Roman" w:hAnsi="Times New Roman" w:cs="Times New Roman"/>
          <w:sz w:val="24"/>
          <w:szCs w:val="24"/>
        </w:rPr>
        <w:t>28, 2679-2714.</w:t>
      </w:r>
    </w:p>
    <w:p w14:paraId="7C93961F" w14:textId="4B7C4DF3" w:rsidR="00743308" w:rsidRDefault="00743308" w:rsidP="00292F4F">
      <w:pPr>
        <w:spacing w:after="0" w:line="240" w:lineRule="auto"/>
        <w:rPr>
          <w:rFonts w:ascii="Times New Roman" w:hAnsi="Times New Roman" w:cs="Times New Roman"/>
          <w:sz w:val="24"/>
          <w:szCs w:val="24"/>
        </w:rPr>
      </w:pPr>
      <w:r w:rsidRPr="00743308">
        <w:rPr>
          <w:rFonts w:ascii="Times New Roman" w:hAnsi="Times New Roman" w:cs="Times New Roman"/>
          <w:sz w:val="24"/>
          <w:szCs w:val="24"/>
        </w:rPr>
        <w:t xml:space="preserve">Boot, </w:t>
      </w:r>
      <w:proofErr w:type="spellStart"/>
      <w:r w:rsidRPr="00743308">
        <w:rPr>
          <w:rFonts w:ascii="Times New Roman" w:hAnsi="Times New Roman" w:cs="Times New Roman"/>
          <w:sz w:val="24"/>
          <w:szCs w:val="24"/>
        </w:rPr>
        <w:t>Arnoud</w:t>
      </w:r>
      <w:proofErr w:type="spellEnd"/>
      <w:r w:rsidRPr="00743308">
        <w:rPr>
          <w:rFonts w:ascii="Times New Roman" w:hAnsi="Times New Roman" w:cs="Times New Roman"/>
          <w:sz w:val="24"/>
          <w:szCs w:val="24"/>
        </w:rPr>
        <w:t xml:space="preserve"> W. A., Todd T. Milbourn, and </w:t>
      </w:r>
      <w:proofErr w:type="spellStart"/>
      <w:r w:rsidRPr="00743308">
        <w:rPr>
          <w:rFonts w:ascii="Times New Roman" w:hAnsi="Times New Roman" w:cs="Times New Roman"/>
          <w:sz w:val="24"/>
          <w:szCs w:val="24"/>
        </w:rPr>
        <w:t>Anjolein</w:t>
      </w:r>
      <w:proofErr w:type="spellEnd"/>
      <w:r w:rsidRPr="00743308">
        <w:rPr>
          <w:rFonts w:ascii="Times New Roman" w:hAnsi="Times New Roman" w:cs="Times New Roman"/>
          <w:sz w:val="24"/>
          <w:szCs w:val="24"/>
        </w:rPr>
        <w:t xml:space="preserve"> </w:t>
      </w:r>
      <w:proofErr w:type="spellStart"/>
      <w:r w:rsidRPr="00743308">
        <w:rPr>
          <w:rFonts w:ascii="Times New Roman" w:hAnsi="Times New Roman" w:cs="Times New Roman"/>
          <w:sz w:val="24"/>
          <w:szCs w:val="24"/>
        </w:rPr>
        <w:t>Schmeits</w:t>
      </w:r>
      <w:proofErr w:type="spellEnd"/>
      <w:r>
        <w:rPr>
          <w:rFonts w:ascii="Times New Roman" w:hAnsi="Times New Roman" w:cs="Times New Roman"/>
          <w:sz w:val="24"/>
          <w:szCs w:val="24"/>
        </w:rPr>
        <w:t>,</w:t>
      </w:r>
      <w:r w:rsidRPr="00743308">
        <w:rPr>
          <w:rFonts w:ascii="Times New Roman" w:hAnsi="Times New Roman" w:cs="Times New Roman"/>
          <w:sz w:val="24"/>
          <w:szCs w:val="24"/>
        </w:rPr>
        <w:t xml:space="preserve"> </w:t>
      </w:r>
      <w:r w:rsidR="00FA0E8F">
        <w:rPr>
          <w:rFonts w:ascii="Times New Roman" w:hAnsi="Times New Roman" w:cs="Times New Roman"/>
          <w:sz w:val="24"/>
          <w:szCs w:val="24"/>
        </w:rPr>
        <w:t xml:space="preserve">2006, </w:t>
      </w:r>
      <w:r w:rsidR="00EB2B6D">
        <w:rPr>
          <w:rFonts w:ascii="Times New Roman" w:hAnsi="Times New Roman" w:cs="Times New Roman"/>
          <w:sz w:val="24"/>
          <w:szCs w:val="24"/>
        </w:rPr>
        <w:t>Ratings as c</w:t>
      </w:r>
      <w:r w:rsidR="00FD297B" w:rsidRPr="00743308">
        <w:rPr>
          <w:rFonts w:ascii="Times New Roman" w:hAnsi="Times New Roman" w:cs="Times New Roman"/>
          <w:sz w:val="24"/>
          <w:szCs w:val="24"/>
        </w:rPr>
        <w:t>oordination</w:t>
      </w:r>
      <w:r w:rsidR="00FD297B" w:rsidRPr="00FD297B">
        <w:rPr>
          <w:rFonts w:ascii="Times New Roman" w:hAnsi="Times New Roman" w:cs="Times New Roman"/>
          <w:sz w:val="24"/>
          <w:szCs w:val="24"/>
        </w:rPr>
        <w:t xml:space="preserve"> </w:t>
      </w:r>
    </w:p>
    <w:p w14:paraId="2A8FF0BD" w14:textId="7E9B9B65" w:rsidR="00FD297B" w:rsidRPr="00FD297B" w:rsidRDefault="00743308" w:rsidP="00292F4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B2B6D">
        <w:rPr>
          <w:rFonts w:ascii="Times New Roman" w:hAnsi="Times New Roman" w:cs="Times New Roman"/>
          <w:sz w:val="24"/>
          <w:szCs w:val="24"/>
        </w:rPr>
        <w:t>m</w:t>
      </w:r>
      <w:r w:rsidR="00FD297B" w:rsidRPr="00FD297B">
        <w:rPr>
          <w:rFonts w:ascii="Times New Roman" w:hAnsi="Times New Roman" w:cs="Times New Roman"/>
          <w:sz w:val="24"/>
          <w:szCs w:val="24"/>
        </w:rPr>
        <w:t>echanisms</w:t>
      </w:r>
      <w:r>
        <w:rPr>
          <w:rFonts w:ascii="Times New Roman" w:hAnsi="Times New Roman" w:cs="Times New Roman"/>
          <w:sz w:val="24"/>
          <w:szCs w:val="24"/>
        </w:rPr>
        <w:t>,</w:t>
      </w:r>
      <w:r w:rsidR="00FD297B" w:rsidRPr="00FD297B">
        <w:rPr>
          <w:rFonts w:ascii="Times New Roman" w:hAnsi="Times New Roman" w:cs="Times New Roman"/>
          <w:sz w:val="24"/>
          <w:szCs w:val="24"/>
        </w:rPr>
        <w:t xml:space="preserve"> </w:t>
      </w:r>
      <w:r w:rsidR="00FD297B" w:rsidRPr="00743308">
        <w:rPr>
          <w:rFonts w:ascii="Times New Roman" w:hAnsi="Times New Roman" w:cs="Times New Roman"/>
          <w:i/>
          <w:sz w:val="24"/>
          <w:szCs w:val="24"/>
        </w:rPr>
        <w:t>The Review of Financial Studies</w:t>
      </w:r>
      <w:r w:rsidR="00FD297B" w:rsidRPr="00FD297B">
        <w:rPr>
          <w:rFonts w:ascii="Times New Roman" w:hAnsi="Times New Roman" w:cs="Times New Roman"/>
          <w:sz w:val="24"/>
          <w:szCs w:val="24"/>
        </w:rPr>
        <w:t>, 19, 81–118.</w:t>
      </w:r>
    </w:p>
    <w:p w14:paraId="45BB751F" w14:textId="0EA383C6" w:rsidR="00A42223" w:rsidRDefault="00A42223" w:rsidP="00A422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Bolton, </w:t>
      </w:r>
      <w:proofErr w:type="gramStart"/>
      <w:r>
        <w:rPr>
          <w:rFonts w:ascii="Times New Roman" w:hAnsi="Times New Roman" w:cs="Times New Roman"/>
          <w:sz w:val="24"/>
          <w:szCs w:val="24"/>
        </w:rPr>
        <w:t>Patrick</w:t>
      </w:r>
      <w:proofErr w:type="gramEnd"/>
      <w:r>
        <w:rPr>
          <w:rFonts w:ascii="Times New Roman" w:hAnsi="Times New Roman" w:cs="Times New Roman"/>
          <w:sz w:val="24"/>
          <w:szCs w:val="24"/>
        </w:rPr>
        <w:t xml:space="preserve"> and Xavier </w:t>
      </w:r>
      <w:proofErr w:type="spellStart"/>
      <w:r>
        <w:rPr>
          <w:rFonts w:ascii="Times New Roman" w:hAnsi="Times New Roman" w:cs="Times New Roman"/>
          <w:sz w:val="24"/>
          <w:szCs w:val="24"/>
        </w:rPr>
        <w:t>Freixas</w:t>
      </w:r>
      <w:proofErr w:type="spellEnd"/>
      <w:r>
        <w:rPr>
          <w:rFonts w:ascii="Times New Roman" w:hAnsi="Times New Roman" w:cs="Times New Roman"/>
          <w:sz w:val="24"/>
          <w:szCs w:val="24"/>
        </w:rPr>
        <w:t xml:space="preserve">, </w:t>
      </w:r>
      <w:r w:rsidR="008971C0">
        <w:rPr>
          <w:rFonts w:ascii="Times New Roman" w:hAnsi="Times New Roman" w:cs="Times New Roman"/>
          <w:sz w:val="24"/>
          <w:szCs w:val="24"/>
        </w:rPr>
        <w:t xml:space="preserve">2000, </w:t>
      </w:r>
      <w:r w:rsidR="00EB2B6D">
        <w:rPr>
          <w:rFonts w:ascii="Times New Roman" w:hAnsi="Times New Roman" w:cs="Times New Roman"/>
          <w:sz w:val="24"/>
          <w:szCs w:val="24"/>
        </w:rPr>
        <w:t>Equity, bonds, and bank debt: Capital s</w:t>
      </w:r>
      <w:r>
        <w:rPr>
          <w:rFonts w:ascii="Times New Roman" w:hAnsi="Times New Roman" w:cs="Times New Roman"/>
          <w:sz w:val="24"/>
          <w:szCs w:val="24"/>
        </w:rPr>
        <w:t xml:space="preserve">tructure and </w:t>
      </w:r>
    </w:p>
    <w:p w14:paraId="611962C3" w14:textId="4B3B169D" w:rsidR="00A42223" w:rsidRDefault="00A42223" w:rsidP="00A42223">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sidR="00EB2B6D">
        <w:rPr>
          <w:rFonts w:ascii="Times New Roman" w:hAnsi="Times New Roman" w:cs="Times New Roman"/>
          <w:sz w:val="24"/>
          <w:szCs w:val="24"/>
        </w:rPr>
        <w:t>financial market equilibrium under asymmetric i</w:t>
      </w:r>
      <w:r w:rsidR="00FD297B" w:rsidRPr="00FD297B">
        <w:rPr>
          <w:rFonts w:ascii="Times New Roman" w:hAnsi="Times New Roman" w:cs="Times New Roman"/>
          <w:sz w:val="24"/>
          <w:szCs w:val="24"/>
        </w:rPr>
        <w:t>nformation</w:t>
      </w:r>
      <w:r>
        <w:rPr>
          <w:rFonts w:ascii="Times New Roman" w:hAnsi="Times New Roman" w:cs="Times New Roman"/>
          <w:sz w:val="24"/>
          <w:szCs w:val="24"/>
        </w:rPr>
        <w:t>,</w:t>
      </w:r>
      <w:r w:rsidR="00FD297B" w:rsidRPr="00FD297B">
        <w:rPr>
          <w:rFonts w:ascii="Times New Roman" w:hAnsi="Times New Roman" w:cs="Times New Roman"/>
          <w:sz w:val="24"/>
          <w:szCs w:val="24"/>
        </w:rPr>
        <w:t xml:space="preserve"> </w:t>
      </w:r>
      <w:r w:rsidR="00FD297B" w:rsidRPr="00A42223">
        <w:rPr>
          <w:rFonts w:ascii="Times New Roman" w:hAnsi="Times New Roman" w:cs="Times New Roman"/>
          <w:i/>
          <w:sz w:val="24"/>
          <w:szCs w:val="24"/>
        </w:rPr>
        <w:t xml:space="preserve">Journal of Political </w:t>
      </w:r>
    </w:p>
    <w:p w14:paraId="6F135381" w14:textId="6362B7A0" w:rsidR="00FD297B" w:rsidRPr="00FD297B" w:rsidRDefault="00A42223" w:rsidP="00A42223">
      <w:pPr>
        <w:spacing w:after="0" w:line="240" w:lineRule="auto"/>
        <w:rPr>
          <w:rFonts w:ascii="Times New Roman" w:hAnsi="Times New Roman" w:cs="Times New Roman"/>
          <w:sz w:val="24"/>
          <w:szCs w:val="24"/>
        </w:rPr>
      </w:pPr>
      <w:r>
        <w:rPr>
          <w:rFonts w:ascii="Times New Roman" w:hAnsi="Times New Roman" w:cs="Times New Roman"/>
          <w:i/>
          <w:sz w:val="24"/>
          <w:szCs w:val="24"/>
        </w:rPr>
        <w:tab/>
        <w:t xml:space="preserve">Economy, </w:t>
      </w:r>
      <w:r w:rsidR="00FD297B" w:rsidRPr="00FD297B">
        <w:rPr>
          <w:rFonts w:ascii="Times New Roman" w:hAnsi="Times New Roman" w:cs="Times New Roman"/>
          <w:sz w:val="24"/>
          <w:szCs w:val="24"/>
        </w:rPr>
        <w:t>108, 324-351</w:t>
      </w:r>
      <w:r>
        <w:rPr>
          <w:rFonts w:ascii="Times New Roman" w:hAnsi="Times New Roman" w:cs="Times New Roman"/>
          <w:sz w:val="24"/>
          <w:szCs w:val="24"/>
        </w:rPr>
        <w:t>.</w:t>
      </w:r>
    </w:p>
    <w:p w14:paraId="2AE28036" w14:textId="77777777" w:rsidR="00E2665D" w:rsidRDefault="00EB2B6D" w:rsidP="00EB2B6D">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Cantor</w:t>
      </w:r>
      <w:r>
        <w:rPr>
          <w:rFonts w:ascii="Times New Roman" w:hAnsi="Times New Roman" w:cs="Times New Roman"/>
          <w:sz w:val="24"/>
          <w:szCs w:val="24"/>
        </w:rPr>
        <w:t>, Richard,</w:t>
      </w:r>
      <w:r w:rsidRPr="00FD297B">
        <w:rPr>
          <w:rFonts w:ascii="Times New Roman" w:hAnsi="Times New Roman" w:cs="Times New Roman"/>
          <w:sz w:val="24"/>
          <w:szCs w:val="24"/>
        </w:rPr>
        <w:t xml:space="preserve"> </w:t>
      </w:r>
      <w:r w:rsidR="00E2665D">
        <w:rPr>
          <w:rFonts w:ascii="Times New Roman" w:hAnsi="Times New Roman" w:cs="Times New Roman"/>
          <w:sz w:val="24"/>
          <w:szCs w:val="24"/>
        </w:rPr>
        <w:t xml:space="preserve">2001, </w:t>
      </w:r>
      <w:r w:rsidR="00FD297B" w:rsidRPr="00FD297B">
        <w:rPr>
          <w:rFonts w:ascii="Times New Roman" w:hAnsi="Times New Roman" w:cs="Times New Roman"/>
          <w:sz w:val="24"/>
          <w:szCs w:val="24"/>
        </w:rPr>
        <w:t xml:space="preserve">Moody’s investors service response to the consultative paper issued by </w:t>
      </w:r>
    </w:p>
    <w:p w14:paraId="39F7F55E" w14:textId="77777777" w:rsidR="00E2665D" w:rsidRDefault="00E2665D" w:rsidP="00EB2B6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the Basel Committee on Bank Supervision ``A new capital adequacy framework</w:t>
      </w:r>
      <w:r w:rsidR="00EB2B6D">
        <w:rPr>
          <w:rFonts w:ascii="Times New Roman" w:hAnsi="Times New Roman" w:cs="Times New Roman"/>
          <w:sz w:val="24"/>
          <w:szCs w:val="24"/>
        </w:rPr>
        <w:t>,</w:t>
      </w:r>
      <w:r w:rsidR="00FD297B" w:rsidRPr="00FD297B">
        <w:rPr>
          <w:rFonts w:ascii="Times New Roman" w:hAnsi="Times New Roman" w:cs="Times New Roman"/>
          <w:sz w:val="24"/>
          <w:szCs w:val="24"/>
        </w:rPr>
        <w:t xml:space="preserve">'' </w:t>
      </w:r>
    </w:p>
    <w:p w14:paraId="53777BB1" w14:textId="7331E291" w:rsidR="00FD297B" w:rsidRPr="00FD297B" w:rsidRDefault="00E2665D" w:rsidP="00EB2B6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EB2B6D">
        <w:rPr>
          <w:rFonts w:ascii="Times New Roman" w:hAnsi="Times New Roman" w:cs="Times New Roman"/>
          <w:i/>
          <w:sz w:val="24"/>
          <w:szCs w:val="24"/>
        </w:rPr>
        <w:t>Journal of Banking &amp; Finance</w:t>
      </w:r>
      <w:r w:rsidR="00EB2B6D">
        <w:rPr>
          <w:rFonts w:ascii="Times New Roman" w:hAnsi="Times New Roman" w:cs="Times New Roman"/>
          <w:sz w:val="24"/>
          <w:szCs w:val="24"/>
        </w:rPr>
        <w:t xml:space="preserve">, </w:t>
      </w:r>
      <w:r w:rsidR="00FD297B" w:rsidRPr="00FD297B">
        <w:rPr>
          <w:rFonts w:ascii="Times New Roman" w:hAnsi="Times New Roman" w:cs="Times New Roman"/>
          <w:sz w:val="24"/>
          <w:szCs w:val="24"/>
        </w:rPr>
        <w:t>25</w:t>
      </w:r>
      <w:r w:rsidR="00EB2B6D">
        <w:rPr>
          <w:rFonts w:ascii="Times New Roman" w:hAnsi="Times New Roman" w:cs="Times New Roman"/>
          <w:sz w:val="24"/>
          <w:szCs w:val="24"/>
        </w:rPr>
        <w:t xml:space="preserve">, </w:t>
      </w:r>
      <w:r w:rsidR="00FD297B" w:rsidRPr="00FD297B">
        <w:rPr>
          <w:rFonts w:ascii="Times New Roman" w:hAnsi="Times New Roman" w:cs="Times New Roman"/>
          <w:sz w:val="24"/>
          <w:szCs w:val="24"/>
        </w:rPr>
        <w:t>171-185</w:t>
      </w:r>
      <w:r w:rsidR="00EB2B6D">
        <w:rPr>
          <w:rFonts w:ascii="Times New Roman" w:hAnsi="Times New Roman" w:cs="Times New Roman"/>
          <w:sz w:val="24"/>
          <w:szCs w:val="24"/>
        </w:rPr>
        <w:t>.</w:t>
      </w:r>
    </w:p>
    <w:p w14:paraId="22D188E1" w14:textId="77777777" w:rsidR="007766E1" w:rsidRDefault="00E2665D" w:rsidP="00E2665D">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Richard Canto</w:t>
      </w:r>
      <w:r>
        <w:rPr>
          <w:rFonts w:ascii="Times New Roman" w:hAnsi="Times New Roman" w:cs="Times New Roman"/>
          <w:sz w:val="24"/>
          <w:szCs w:val="24"/>
        </w:rPr>
        <w:t xml:space="preserve">r and Christopher Mann, </w:t>
      </w:r>
      <w:r w:rsidR="007766E1">
        <w:rPr>
          <w:rFonts w:ascii="Times New Roman" w:hAnsi="Times New Roman" w:cs="Times New Roman"/>
          <w:sz w:val="24"/>
          <w:szCs w:val="24"/>
        </w:rPr>
        <w:t xml:space="preserve">2007, </w:t>
      </w:r>
      <w:r>
        <w:rPr>
          <w:rFonts w:ascii="Times New Roman" w:hAnsi="Times New Roman" w:cs="Times New Roman"/>
          <w:sz w:val="24"/>
          <w:szCs w:val="24"/>
        </w:rPr>
        <w:t>Analyzing the t</w:t>
      </w:r>
      <w:r w:rsidR="007766E1">
        <w:rPr>
          <w:rFonts w:ascii="Times New Roman" w:hAnsi="Times New Roman" w:cs="Times New Roman"/>
          <w:sz w:val="24"/>
          <w:szCs w:val="24"/>
        </w:rPr>
        <w:t xml:space="preserve">radeoff between ratings accuracy </w:t>
      </w:r>
    </w:p>
    <w:p w14:paraId="53923182" w14:textId="5ED6B59E" w:rsidR="00FD297B" w:rsidRPr="00FD297B" w:rsidRDefault="007766E1" w:rsidP="00E2665D">
      <w:pPr>
        <w:spacing w:after="0" w:line="240" w:lineRule="auto"/>
        <w:rPr>
          <w:rFonts w:ascii="Times New Roman" w:hAnsi="Times New Roman" w:cs="Times New Roman"/>
          <w:sz w:val="24"/>
          <w:szCs w:val="24"/>
        </w:rPr>
      </w:pPr>
      <w:r>
        <w:rPr>
          <w:rFonts w:ascii="Times New Roman" w:hAnsi="Times New Roman" w:cs="Times New Roman"/>
          <w:sz w:val="24"/>
          <w:szCs w:val="24"/>
        </w:rPr>
        <w:tab/>
        <w:t>and s</w:t>
      </w:r>
      <w:r w:rsidR="00FD297B" w:rsidRPr="00FD297B">
        <w:rPr>
          <w:rFonts w:ascii="Times New Roman" w:hAnsi="Times New Roman" w:cs="Times New Roman"/>
          <w:sz w:val="24"/>
          <w:szCs w:val="24"/>
        </w:rPr>
        <w:t xml:space="preserve">tability. </w:t>
      </w:r>
      <w:r w:rsidR="00FD297B" w:rsidRPr="007766E1">
        <w:rPr>
          <w:rFonts w:ascii="Times New Roman" w:hAnsi="Times New Roman" w:cs="Times New Roman"/>
          <w:i/>
          <w:sz w:val="24"/>
          <w:szCs w:val="24"/>
        </w:rPr>
        <w:t>The Journal of Fixed Income</w:t>
      </w:r>
      <w:r>
        <w:rPr>
          <w:rFonts w:ascii="Times New Roman" w:hAnsi="Times New Roman" w:cs="Times New Roman"/>
          <w:sz w:val="24"/>
          <w:szCs w:val="24"/>
        </w:rPr>
        <w:t xml:space="preserve">, </w:t>
      </w:r>
      <w:r w:rsidR="00FD297B" w:rsidRPr="00FD297B">
        <w:rPr>
          <w:rFonts w:ascii="Times New Roman" w:hAnsi="Times New Roman" w:cs="Times New Roman"/>
          <w:sz w:val="24"/>
          <w:szCs w:val="24"/>
        </w:rPr>
        <w:t>16</w:t>
      </w:r>
      <w:r>
        <w:rPr>
          <w:rFonts w:ascii="Times New Roman" w:hAnsi="Times New Roman" w:cs="Times New Roman"/>
          <w:sz w:val="24"/>
          <w:szCs w:val="24"/>
        </w:rPr>
        <w:t>, 60-68.</w:t>
      </w:r>
    </w:p>
    <w:p w14:paraId="7D1C496C" w14:textId="77777777" w:rsidR="00D70616" w:rsidRDefault="00FD297B" w:rsidP="00D70616">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Cheng, M</w:t>
      </w:r>
      <w:r w:rsidR="00D70616">
        <w:rPr>
          <w:rFonts w:ascii="Times New Roman" w:hAnsi="Times New Roman" w:cs="Times New Roman"/>
          <w:sz w:val="24"/>
          <w:szCs w:val="24"/>
        </w:rPr>
        <w:t>ei</w:t>
      </w:r>
      <w:r w:rsidRPr="00FD297B">
        <w:rPr>
          <w:rFonts w:ascii="Times New Roman" w:hAnsi="Times New Roman" w:cs="Times New Roman"/>
          <w:sz w:val="24"/>
          <w:szCs w:val="24"/>
        </w:rPr>
        <w:t xml:space="preserve">. and </w:t>
      </w:r>
      <w:r w:rsidR="00D70616">
        <w:rPr>
          <w:rFonts w:ascii="Times New Roman" w:hAnsi="Times New Roman" w:cs="Times New Roman"/>
          <w:sz w:val="24"/>
          <w:szCs w:val="24"/>
        </w:rPr>
        <w:t xml:space="preserve">Monica </w:t>
      </w:r>
      <w:proofErr w:type="spellStart"/>
      <w:r w:rsidR="00D70616">
        <w:rPr>
          <w:rFonts w:ascii="Times New Roman" w:hAnsi="Times New Roman" w:cs="Times New Roman"/>
          <w:sz w:val="24"/>
          <w:szCs w:val="24"/>
        </w:rPr>
        <w:t>Neamtiu</w:t>
      </w:r>
      <w:proofErr w:type="spellEnd"/>
      <w:r w:rsidR="00D70616">
        <w:rPr>
          <w:rFonts w:ascii="Times New Roman" w:hAnsi="Times New Roman" w:cs="Times New Roman"/>
          <w:sz w:val="24"/>
          <w:szCs w:val="24"/>
        </w:rPr>
        <w:t xml:space="preserve">, 2009, An empirical analysis of changes in credit rating </w:t>
      </w:r>
    </w:p>
    <w:p w14:paraId="74605C11" w14:textId="77777777" w:rsidR="00D70616" w:rsidRDefault="00D70616" w:rsidP="00D7061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properties: Timeliness, accuracy and volatility, </w:t>
      </w:r>
      <w:r w:rsidR="00FD297B" w:rsidRPr="00D70616">
        <w:rPr>
          <w:rFonts w:ascii="Times New Roman" w:hAnsi="Times New Roman" w:cs="Times New Roman"/>
          <w:i/>
          <w:sz w:val="24"/>
          <w:szCs w:val="24"/>
        </w:rPr>
        <w:t>Journal of Accounting and Economics</w:t>
      </w:r>
      <w:r w:rsidR="00FD297B" w:rsidRPr="00FD297B">
        <w:rPr>
          <w:rFonts w:ascii="Times New Roman" w:hAnsi="Times New Roman" w:cs="Times New Roman"/>
          <w:sz w:val="24"/>
          <w:szCs w:val="24"/>
        </w:rPr>
        <w:t xml:space="preserve">, </w:t>
      </w:r>
    </w:p>
    <w:p w14:paraId="2A8232B4" w14:textId="62E757F8" w:rsidR="00FD297B" w:rsidRPr="00FD297B" w:rsidRDefault="00D70616" w:rsidP="00D7061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47, 108-130.</w:t>
      </w:r>
    </w:p>
    <w:p w14:paraId="7431EEE2" w14:textId="77777777" w:rsidR="009F4966" w:rsidRDefault="00FD297B" w:rsidP="00426799">
      <w:pPr>
        <w:spacing w:after="0" w:line="240" w:lineRule="auto"/>
        <w:rPr>
          <w:rFonts w:ascii="Times New Roman" w:hAnsi="Times New Roman" w:cs="Times New Roman"/>
          <w:sz w:val="24"/>
          <w:szCs w:val="24"/>
        </w:rPr>
      </w:pPr>
      <w:r w:rsidRPr="00EF6C08">
        <w:rPr>
          <w:rFonts w:ascii="Times New Roman" w:hAnsi="Times New Roman" w:cs="Times New Roman"/>
          <w:sz w:val="24"/>
          <w:szCs w:val="24"/>
        </w:rPr>
        <w:t>Diamond, D</w:t>
      </w:r>
      <w:r w:rsidR="00426799" w:rsidRPr="00EF6C08">
        <w:rPr>
          <w:rFonts w:ascii="Times New Roman" w:hAnsi="Times New Roman" w:cs="Times New Roman"/>
          <w:sz w:val="24"/>
          <w:szCs w:val="24"/>
        </w:rPr>
        <w:t>ouglas W., 1</w:t>
      </w:r>
      <w:r w:rsidRPr="00EF6C08">
        <w:rPr>
          <w:rFonts w:ascii="Times New Roman" w:hAnsi="Times New Roman" w:cs="Times New Roman"/>
          <w:sz w:val="24"/>
          <w:szCs w:val="24"/>
        </w:rPr>
        <w:t xml:space="preserve">991. </w:t>
      </w:r>
      <w:r w:rsidR="00EF6C08" w:rsidRPr="00EF6C08">
        <w:rPr>
          <w:rFonts w:ascii="Times New Roman" w:hAnsi="Times New Roman" w:cs="Times New Roman"/>
          <w:sz w:val="24"/>
          <w:szCs w:val="24"/>
        </w:rPr>
        <w:t>Monitoring and Reputation: The choice between bank l</w:t>
      </w:r>
      <w:r w:rsidRPr="00EF6C08">
        <w:rPr>
          <w:rFonts w:ascii="Times New Roman" w:hAnsi="Times New Roman" w:cs="Times New Roman"/>
          <w:sz w:val="24"/>
          <w:szCs w:val="24"/>
        </w:rPr>
        <w:t xml:space="preserve">oans and </w:t>
      </w:r>
    </w:p>
    <w:p w14:paraId="3B2F76EF" w14:textId="15CFB632" w:rsidR="00FD297B" w:rsidRPr="00EF6C08" w:rsidRDefault="009F4966" w:rsidP="00426799">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26799" w:rsidRPr="00EF6C08">
        <w:rPr>
          <w:rFonts w:ascii="Times New Roman" w:hAnsi="Times New Roman" w:cs="Times New Roman"/>
          <w:sz w:val="24"/>
          <w:szCs w:val="24"/>
        </w:rPr>
        <w:t xml:space="preserve">directly placed debt, 99, </w:t>
      </w:r>
      <w:hyperlink r:id="rId11" w:tgtFrame="_blank" w:history="1">
        <w:r w:rsidR="00EF6C08" w:rsidRPr="009F4966">
          <w:rPr>
            <w:rFonts w:ascii="Times New Roman" w:hAnsi="Times New Roman" w:cs="Times New Roman"/>
            <w:i/>
            <w:sz w:val="24"/>
            <w:szCs w:val="24"/>
            <w:bdr w:val="none" w:sz="0" w:space="0" w:color="auto" w:frame="1"/>
          </w:rPr>
          <w:t>Journal of Political Economy</w:t>
        </w:r>
      </w:hyperlink>
      <w:r>
        <w:rPr>
          <w:rFonts w:ascii="Times New Roman" w:hAnsi="Times New Roman" w:cs="Times New Roman"/>
          <w:sz w:val="24"/>
          <w:szCs w:val="24"/>
        </w:rPr>
        <w:t xml:space="preserve">, 99, </w:t>
      </w:r>
      <w:r w:rsidR="00EF6C08" w:rsidRPr="00EF6C08">
        <w:rPr>
          <w:rFonts w:ascii="Times New Roman" w:hAnsi="Times New Roman" w:cs="Times New Roman"/>
          <w:sz w:val="24"/>
          <w:szCs w:val="24"/>
        </w:rPr>
        <w:t>689-721</w:t>
      </w:r>
      <w:r>
        <w:rPr>
          <w:rFonts w:ascii="Times New Roman" w:hAnsi="Times New Roman" w:cs="Times New Roman"/>
          <w:sz w:val="24"/>
          <w:szCs w:val="24"/>
        </w:rPr>
        <w:t>.</w:t>
      </w:r>
    </w:p>
    <w:p w14:paraId="3616C58B" w14:textId="77777777" w:rsidR="008934A3" w:rsidRDefault="00FD297B" w:rsidP="008934A3">
      <w:pPr>
        <w:spacing w:after="0" w:line="240" w:lineRule="auto"/>
        <w:rPr>
          <w:rFonts w:ascii="Times New Roman" w:hAnsi="Times New Roman" w:cs="Times New Roman"/>
          <w:sz w:val="24"/>
          <w:szCs w:val="24"/>
        </w:rPr>
      </w:pPr>
      <w:proofErr w:type="spellStart"/>
      <w:r w:rsidRPr="00EF6C08">
        <w:rPr>
          <w:rFonts w:ascii="Times New Roman" w:hAnsi="Times New Roman" w:cs="Times New Roman"/>
          <w:sz w:val="24"/>
          <w:szCs w:val="24"/>
        </w:rPr>
        <w:t>Ederington</w:t>
      </w:r>
      <w:proofErr w:type="spellEnd"/>
      <w:r w:rsidRPr="00EF6C08">
        <w:rPr>
          <w:rFonts w:ascii="Times New Roman" w:hAnsi="Times New Roman" w:cs="Times New Roman"/>
          <w:sz w:val="24"/>
          <w:szCs w:val="24"/>
        </w:rPr>
        <w:t xml:space="preserve">, Louis, H., and Jeremy C. Goh, 1998, Bond rating agencies and stock analysts: </w:t>
      </w:r>
      <w:r w:rsidR="008934A3">
        <w:rPr>
          <w:rFonts w:ascii="Times New Roman" w:hAnsi="Times New Roman" w:cs="Times New Roman"/>
          <w:sz w:val="24"/>
          <w:szCs w:val="24"/>
        </w:rPr>
        <w:t xml:space="preserve">Who </w:t>
      </w:r>
    </w:p>
    <w:p w14:paraId="26F28046" w14:textId="39421ADA" w:rsidR="00FD297B" w:rsidRPr="00FD297B" w:rsidRDefault="00855EDE" w:rsidP="00855EDE">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8934A3">
        <w:rPr>
          <w:rFonts w:ascii="Times New Roman" w:hAnsi="Times New Roman" w:cs="Times New Roman"/>
          <w:sz w:val="24"/>
          <w:szCs w:val="24"/>
        </w:rPr>
        <w:t xml:space="preserve"> </w:t>
      </w:r>
      <w:r w:rsidR="00FD297B" w:rsidRPr="00FD297B">
        <w:rPr>
          <w:rFonts w:ascii="Times New Roman" w:hAnsi="Times New Roman" w:cs="Times New Roman"/>
          <w:sz w:val="24"/>
          <w:szCs w:val="24"/>
        </w:rPr>
        <w:t xml:space="preserve">knows what </w:t>
      </w:r>
      <w:proofErr w:type="gramStart"/>
      <w:r w:rsidR="00FD297B" w:rsidRPr="00FD297B">
        <w:rPr>
          <w:rFonts w:ascii="Times New Roman" w:hAnsi="Times New Roman" w:cs="Times New Roman"/>
          <w:sz w:val="24"/>
          <w:szCs w:val="24"/>
        </w:rPr>
        <w:t>when?</w:t>
      </w:r>
      <w:r w:rsidR="008934A3">
        <w:rPr>
          <w:rFonts w:ascii="Times New Roman" w:hAnsi="Times New Roman" w:cs="Times New Roman"/>
          <w:sz w:val="24"/>
          <w:szCs w:val="24"/>
        </w:rPr>
        <w:t>,</w:t>
      </w:r>
      <w:proofErr w:type="gramEnd"/>
      <w:r w:rsidR="00FD297B" w:rsidRPr="00FD297B">
        <w:rPr>
          <w:rFonts w:ascii="Times New Roman" w:hAnsi="Times New Roman" w:cs="Times New Roman"/>
          <w:sz w:val="24"/>
          <w:szCs w:val="24"/>
        </w:rPr>
        <w:t xml:space="preserve"> </w:t>
      </w:r>
      <w:r w:rsidR="00FD297B" w:rsidRPr="008934A3">
        <w:rPr>
          <w:rFonts w:ascii="Times New Roman" w:hAnsi="Times New Roman" w:cs="Times New Roman"/>
          <w:i/>
          <w:sz w:val="24"/>
          <w:szCs w:val="24"/>
        </w:rPr>
        <w:t>Journal of Financial and Quantitative Analysis</w:t>
      </w:r>
      <w:r w:rsidR="008934A3">
        <w:rPr>
          <w:rFonts w:ascii="Times New Roman" w:hAnsi="Times New Roman" w:cs="Times New Roman"/>
          <w:sz w:val="24"/>
          <w:szCs w:val="24"/>
        </w:rPr>
        <w:t xml:space="preserve">, </w:t>
      </w:r>
      <w:r w:rsidR="00FD297B" w:rsidRPr="00FD297B">
        <w:rPr>
          <w:rFonts w:ascii="Times New Roman" w:hAnsi="Times New Roman" w:cs="Times New Roman"/>
          <w:sz w:val="24"/>
          <w:szCs w:val="24"/>
        </w:rPr>
        <w:t>33, 569-585.</w:t>
      </w:r>
    </w:p>
    <w:p w14:paraId="4507F51B" w14:textId="77777777" w:rsidR="008934A3" w:rsidRDefault="00FD297B" w:rsidP="008934A3">
      <w:pPr>
        <w:spacing w:after="0" w:line="240" w:lineRule="auto"/>
        <w:rPr>
          <w:rFonts w:ascii="Times New Roman" w:hAnsi="Times New Roman" w:cs="Times New Roman"/>
          <w:sz w:val="24"/>
          <w:szCs w:val="24"/>
        </w:rPr>
      </w:pPr>
      <w:proofErr w:type="spellStart"/>
      <w:r w:rsidRPr="00FD297B">
        <w:rPr>
          <w:rFonts w:ascii="Times New Roman" w:hAnsi="Times New Roman" w:cs="Times New Roman"/>
          <w:sz w:val="24"/>
          <w:szCs w:val="24"/>
        </w:rPr>
        <w:t>Ederington</w:t>
      </w:r>
      <w:proofErr w:type="spellEnd"/>
      <w:r w:rsidRPr="00FD297B">
        <w:rPr>
          <w:rFonts w:ascii="Times New Roman" w:hAnsi="Times New Roman" w:cs="Times New Roman"/>
          <w:sz w:val="24"/>
          <w:szCs w:val="24"/>
        </w:rPr>
        <w:t xml:space="preserve">, Louis H., Jess B. </w:t>
      </w:r>
      <w:proofErr w:type="spellStart"/>
      <w:r w:rsidRPr="00FD297B">
        <w:rPr>
          <w:rFonts w:ascii="Times New Roman" w:hAnsi="Times New Roman" w:cs="Times New Roman"/>
          <w:sz w:val="24"/>
          <w:szCs w:val="24"/>
        </w:rPr>
        <w:t>Yawitz</w:t>
      </w:r>
      <w:proofErr w:type="spellEnd"/>
      <w:r w:rsidRPr="00FD297B">
        <w:rPr>
          <w:rFonts w:ascii="Times New Roman" w:hAnsi="Times New Roman" w:cs="Times New Roman"/>
          <w:sz w:val="24"/>
          <w:szCs w:val="24"/>
        </w:rPr>
        <w:t xml:space="preserve">, and Brian E. Roberts, 1987, The informational content </w:t>
      </w:r>
    </w:p>
    <w:p w14:paraId="402FC1EA" w14:textId="50FF991F" w:rsidR="00FD297B" w:rsidRPr="00FD297B" w:rsidRDefault="008934A3" w:rsidP="008934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 xml:space="preserve">bond ratings, </w:t>
      </w:r>
      <w:r w:rsidR="00FD297B" w:rsidRPr="008934A3">
        <w:rPr>
          <w:rFonts w:ascii="Times New Roman" w:hAnsi="Times New Roman" w:cs="Times New Roman"/>
          <w:i/>
          <w:sz w:val="24"/>
          <w:szCs w:val="24"/>
        </w:rPr>
        <w:t>The Journal of Financial Research</w:t>
      </w:r>
      <w:r>
        <w:rPr>
          <w:rFonts w:ascii="Times New Roman" w:hAnsi="Times New Roman" w:cs="Times New Roman"/>
          <w:sz w:val="24"/>
          <w:szCs w:val="24"/>
        </w:rPr>
        <w:t>,</w:t>
      </w:r>
      <w:r w:rsidR="00FD297B" w:rsidRPr="00FD297B">
        <w:rPr>
          <w:rFonts w:ascii="Times New Roman" w:hAnsi="Times New Roman" w:cs="Times New Roman"/>
          <w:sz w:val="24"/>
          <w:szCs w:val="24"/>
        </w:rPr>
        <w:t xml:space="preserve"> 10, 211-226.</w:t>
      </w:r>
    </w:p>
    <w:p w14:paraId="3FB0E77B" w14:textId="77777777" w:rsidR="009E4F5E" w:rsidRDefault="00FD297B" w:rsidP="008934A3">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Goldstein, M</w:t>
      </w:r>
      <w:r w:rsidR="009E4F5E">
        <w:rPr>
          <w:rFonts w:ascii="Times New Roman" w:hAnsi="Times New Roman" w:cs="Times New Roman"/>
          <w:sz w:val="24"/>
          <w:szCs w:val="24"/>
        </w:rPr>
        <w:t>orris</w:t>
      </w:r>
      <w:r w:rsidRPr="00FD297B">
        <w:rPr>
          <w:rFonts w:ascii="Times New Roman" w:hAnsi="Times New Roman" w:cs="Times New Roman"/>
          <w:sz w:val="24"/>
          <w:szCs w:val="24"/>
        </w:rPr>
        <w:t xml:space="preserve">, </w:t>
      </w:r>
      <w:r w:rsidR="009E4F5E">
        <w:rPr>
          <w:rFonts w:ascii="Times New Roman" w:hAnsi="Times New Roman" w:cs="Times New Roman"/>
          <w:sz w:val="24"/>
          <w:szCs w:val="24"/>
        </w:rPr>
        <w:t xml:space="preserve">Graciela M. </w:t>
      </w:r>
      <w:r w:rsidRPr="00FD297B">
        <w:rPr>
          <w:rFonts w:ascii="Times New Roman" w:hAnsi="Times New Roman" w:cs="Times New Roman"/>
          <w:sz w:val="24"/>
          <w:szCs w:val="24"/>
        </w:rPr>
        <w:t xml:space="preserve">Kaminsky, </w:t>
      </w:r>
      <w:r w:rsidR="009E4F5E">
        <w:rPr>
          <w:rFonts w:ascii="Times New Roman" w:hAnsi="Times New Roman" w:cs="Times New Roman"/>
          <w:sz w:val="24"/>
          <w:szCs w:val="24"/>
        </w:rPr>
        <w:t xml:space="preserve">and </w:t>
      </w:r>
      <w:proofErr w:type="spellStart"/>
      <w:r w:rsidR="009E4F5E">
        <w:rPr>
          <w:rFonts w:ascii="Times New Roman" w:hAnsi="Times New Roman" w:cs="Times New Roman"/>
          <w:sz w:val="24"/>
          <w:szCs w:val="24"/>
        </w:rPr>
        <w:t>Carmin</w:t>
      </w:r>
      <w:proofErr w:type="spellEnd"/>
      <w:r w:rsidR="009E4F5E">
        <w:rPr>
          <w:rFonts w:ascii="Times New Roman" w:hAnsi="Times New Roman" w:cs="Times New Roman"/>
          <w:sz w:val="24"/>
          <w:szCs w:val="24"/>
        </w:rPr>
        <w:t xml:space="preserve"> </w:t>
      </w:r>
      <w:r w:rsidRPr="00FD297B">
        <w:rPr>
          <w:rFonts w:ascii="Times New Roman" w:hAnsi="Times New Roman" w:cs="Times New Roman"/>
          <w:sz w:val="24"/>
          <w:szCs w:val="24"/>
        </w:rPr>
        <w:t>Reinhart, 2000</w:t>
      </w:r>
      <w:r w:rsidR="009E4F5E">
        <w:rPr>
          <w:rFonts w:ascii="Times New Roman" w:hAnsi="Times New Roman" w:cs="Times New Roman"/>
          <w:sz w:val="24"/>
          <w:szCs w:val="24"/>
        </w:rPr>
        <w:t xml:space="preserve">, </w:t>
      </w:r>
      <w:r w:rsidRPr="00FD297B">
        <w:rPr>
          <w:rFonts w:ascii="Times New Roman" w:hAnsi="Times New Roman" w:cs="Times New Roman"/>
          <w:sz w:val="24"/>
          <w:szCs w:val="24"/>
        </w:rPr>
        <w:t xml:space="preserve">Assessing </w:t>
      </w:r>
      <w:r w:rsidR="009E4F5E">
        <w:rPr>
          <w:rFonts w:ascii="Times New Roman" w:hAnsi="Times New Roman" w:cs="Times New Roman"/>
          <w:sz w:val="24"/>
          <w:szCs w:val="24"/>
        </w:rPr>
        <w:t>f</w:t>
      </w:r>
      <w:r w:rsidRPr="00FD297B">
        <w:rPr>
          <w:rFonts w:ascii="Times New Roman" w:hAnsi="Times New Roman" w:cs="Times New Roman"/>
          <w:sz w:val="24"/>
          <w:szCs w:val="24"/>
        </w:rPr>
        <w:t xml:space="preserve">inancial </w:t>
      </w:r>
    </w:p>
    <w:p w14:paraId="2E0F5093" w14:textId="77777777" w:rsidR="009E4F5E" w:rsidRDefault="009E4F5E" w:rsidP="008934A3">
      <w:pPr>
        <w:spacing w:after="0" w:line="240" w:lineRule="auto"/>
        <w:rPr>
          <w:rFonts w:ascii="Times New Roman" w:hAnsi="Times New Roman" w:cs="Times New Roman"/>
          <w:i/>
          <w:sz w:val="24"/>
          <w:szCs w:val="24"/>
        </w:rPr>
      </w:pPr>
      <w:r>
        <w:rPr>
          <w:rFonts w:ascii="Times New Roman" w:hAnsi="Times New Roman" w:cs="Times New Roman"/>
          <w:sz w:val="24"/>
          <w:szCs w:val="24"/>
        </w:rPr>
        <w:tab/>
        <w:t>v</w:t>
      </w:r>
      <w:r w:rsidR="00FD297B" w:rsidRPr="00FD297B">
        <w:rPr>
          <w:rFonts w:ascii="Times New Roman" w:hAnsi="Times New Roman" w:cs="Times New Roman"/>
          <w:sz w:val="24"/>
          <w:szCs w:val="24"/>
        </w:rPr>
        <w:t xml:space="preserve">ulnerability: An </w:t>
      </w:r>
      <w:r>
        <w:rPr>
          <w:rFonts w:ascii="Times New Roman" w:hAnsi="Times New Roman" w:cs="Times New Roman"/>
          <w:sz w:val="24"/>
          <w:szCs w:val="24"/>
        </w:rPr>
        <w:t>e</w:t>
      </w:r>
      <w:r w:rsidR="00FD297B" w:rsidRPr="00FD297B">
        <w:rPr>
          <w:rFonts w:ascii="Times New Roman" w:hAnsi="Times New Roman" w:cs="Times New Roman"/>
          <w:sz w:val="24"/>
          <w:szCs w:val="24"/>
        </w:rPr>
        <w:t xml:space="preserve">arly </w:t>
      </w:r>
      <w:r>
        <w:rPr>
          <w:rFonts w:ascii="Times New Roman" w:hAnsi="Times New Roman" w:cs="Times New Roman"/>
          <w:sz w:val="24"/>
          <w:szCs w:val="24"/>
        </w:rPr>
        <w:t>w</w:t>
      </w:r>
      <w:r w:rsidR="00FD297B" w:rsidRPr="00FD297B">
        <w:rPr>
          <w:rFonts w:ascii="Times New Roman" w:hAnsi="Times New Roman" w:cs="Times New Roman"/>
          <w:sz w:val="24"/>
          <w:szCs w:val="24"/>
        </w:rPr>
        <w:t xml:space="preserve">arning </w:t>
      </w:r>
      <w:r>
        <w:rPr>
          <w:rFonts w:ascii="Times New Roman" w:hAnsi="Times New Roman" w:cs="Times New Roman"/>
          <w:sz w:val="24"/>
          <w:szCs w:val="24"/>
        </w:rPr>
        <w:t>s</w:t>
      </w:r>
      <w:r w:rsidR="00FD297B" w:rsidRPr="00FD297B">
        <w:rPr>
          <w:rFonts w:ascii="Times New Roman" w:hAnsi="Times New Roman" w:cs="Times New Roman"/>
          <w:sz w:val="24"/>
          <w:szCs w:val="24"/>
        </w:rPr>
        <w:t xml:space="preserve">ystem for </w:t>
      </w:r>
      <w:r>
        <w:rPr>
          <w:rFonts w:ascii="Times New Roman" w:hAnsi="Times New Roman" w:cs="Times New Roman"/>
          <w:sz w:val="24"/>
          <w:szCs w:val="24"/>
        </w:rPr>
        <w:t>e</w:t>
      </w:r>
      <w:r w:rsidR="00FD297B" w:rsidRPr="00FD297B">
        <w:rPr>
          <w:rFonts w:ascii="Times New Roman" w:hAnsi="Times New Roman" w:cs="Times New Roman"/>
          <w:sz w:val="24"/>
          <w:szCs w:val="24"/>
        </w:rPr>
        <w:t xml:space="preserve">merging </w:t>
      </w:r>
      <w:r>
        <w:rPr>
          <w:rFonts w:ascii="Times New Roman" w:hAnsi="Times New Roman" w:cs="Times New Roman"/>
          <w:sz w:val="24"/>
          <w:szCs w:val="24"/>
        </w:rPr>
        <w:t xml:space="preserve">markets, </w:t>
      </w:r>
      <w:r w:rsidR="00FD297B" w:rsidRPr="009E4F5E">
        <w:rPr>
          <w:rFonts w:ascii="Times New Roman" w:hAnsi="Times New Roman" w:cs="Times New Roman"/>
          <w:i/>
          <w:sz w:val="24"/>
          <w:szCs w:val="24"/>
        </w:rPr>
        <w:t xml:space="preserve">Institute for </w:t>
      </w:r>
    </w:p>
    <w:p w14:paraId="032F089A" w14:textId="4A3B2058" w:rsidR="00FD297B" w:rsidRPr="00FD297B" w:rsidRDefault="009E4F5E" w:rsidP="008934A3">
      <w:pPr>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FD297B" w:rsidRPr="009E4F5E">
        <w:rPr>
          <w:rFonts w:ascii="Times New Roman" w:hAnsi="Times New Roman" w:cs="Times New Roman"/>
          <w:i/>
          <w:sz w:val="24"/>
          <w:szCs w:val="24"/>
        </w:rPr>
        <w:t>International Economics</w:t>
      </w:r>
      <w:r w:rsidR="00FD297B" w:rsidRPr="00FD297B">
        <w:rPr>
          <w:rFonts w:ascii="Times New Roman" w:hAnsi="Times New Roman" w:cs="Times New Roman"/>
          <w:sz w:val="24"/>
          <w:szCs w:val="24"/>
        </w:rPr>
        <w:t>.</w:t>
      </w:r>
    </w:p>
    <w:p w14:paraId="0C854571" w14:textId="21743D8D" w:rsidR="000A5BBD" w:rsidRDefault="000A5BBD" w:rsidP="000A5BBD">
      <w:pPr>
        <w:spacing w:after="0" w:line="240" w:lineRule="auto"/>
        <w:rPr>
          <w:rFonts w:ascii="Times New Roman" w:hAnsi="Times New Roman" w:cs="Times New Roman"/>
          <w:sz w:val="24"/>
          <w:szCs w:val="24"/>
        </w:rPr>
      </w:pPr>
      <w:r>
        <w:rPr>
          <w:rFonts w:ascii="Times New Roman" w:hAnsi="Times New Roman" w:cs="Times New Roman"/>
          <w:sz w:val="24"/>
          <w:szCs w:val="24"/>
        </w:rPr>
        <w:t>Graham</w:t>
      </w:r>
      <w:r w:rsidR="007B5720">
        <w:rPr>
          <w:rFonts w:ascii="Times New Roman" w:hAnsi="Times New Roman" w:cs="Times New Roman"/>
          <w:sz w:val="24"/>
          <w:szCs w:val="24"/>
        </w:rPr>
        <w:t>, John R.,</w:t>
      </w:r>
      <w:r>
        <w:rPr>
          <w:rFonts w:ascii="Times New Roman" w:hAnsi="Times New Roman" w:cs="Times New Roman"/>
          <w:sz w:val="24"/>
          <w:szCs w:val="24"/>
        </w:rPr>
        <w:t xml:space="preserve"> and Harvey R. </w:t>
      </w:r>
      <w:r w:rsidR="00FD297B" w:rsidRPr="00FD297B">
        <w:rPr>
          <w:rFonts w:ascii="Times New Roman" w:hAnsi="Times New Roman" w:cs="Times New Roman"/>
          <w:sz w:val="24"/>
          <w:szCs w:val="24"/>
        </w:rPr>
        <w:t>Campb</w:t>
      </w:r>
      <w:r>
        <w:rPr>
          <w:rFonts w:ascii="Times New Roman" w:hAnsi="Times New Roman" w:cs="Times New Roman"/>
          <w:sz w:val="24"/>
          <w:szCs w:val="24"/>
        </w:rPr>
        <w:t>ell, 2001 The theory</w:t>
      </w:r>
      <w:r w:rsidR="00FD297B" w:rsidRPr="00FD297B">
        <w:rPr>
          <w:rFonts w:ascii="Times New Roman" w:hAnsi="Times New Roman" w:cs="Times New Roman"/>
          <w:sz w:val="24"/>
          <w:szCs w:val="24"/>
        </w:rPr>
        <w:t xml:space="preserve"> </w:t>
      </w:r>
      <w:proofErr w:type="gramStart"/>
      <w:r w:rsidR="00FD297B" w:rsidRPr="00FD297B">
        <w:rPr>
          <w:rFonts w:ascii="Times New Roman" w:hAnsi="Times New Roman" w:cs="Times New Roman"/>
          <w:sz w:val="24"/>
          <w:szCs w:val="24"/>
        </w:rPr>
        <w:t>and  pr</w:t>
      </w:r>
      <w:r>
        <w:rPr>
          <w:rFonts w:ascii="Times New Roman" w:hAnsi="Times New Roman" w:cs="Times New Roman"/>
          <w:sz w:val="24"/>
          <w:szCs w:val="24"/>
        </w:rPr>
        <w:t>actice</w:t>
      </w:r>
      <w:proofErr w:type="gramEnd"/>
      <w:r>
        <w:rPr>
          <w:rFonts w:ascii="Times New Roman" w:hAnsi="Times New Roman" w:cs="Times New Roman"/>
          <w:sz w:val="24"/>
          <w:szCs w:val="24"/>
        </w:rPr>
        <w:t xml:space="preserve">  of  corporate finance: </w:t>
      </w:r>
    </w:p>
    <w:p w14:paraId="3E69A036" w14:textId="0CA50951" w:rsidR="00FD297B" w:rsidRPr="00FD297B" w:rsidRDefault="000A5BBD" w:rsidP="000A5BBD">
      <w:pPr>
        <w:spacing w:after="0" w:line="240" w:lineRule="auto"/>
        <w:rPr>
          <w:rFonts w:ascii="Times New Roman" w:hAnsi="Times New Roman" w:cs="Times New Roman"/>
          <w:sz w:val="24"/>
          <w:szCs w:val="24"/>
        </w:rPr>
      </w:pPr>
      <w:r>
        <w:rPr>
          <w:rFonts w:ascii="Times New Roman" w:hAnsi="Times New Roman" w:cs="Times New Roman"/>
          <w:sz w:val="24"/>
          <w:szCs w:val="24"/>
        </w:rPr>
        <w:tab/>
        <w:t>E</w:t>
      </w:r>
      <w:r w:rsidR="00FD297B" w:rsidRPr="00FD297B">
        <w:rPr>
          <w:rFonts w:ascii="Times New Roman" w:hAnsi="Times New Roman" w:cs="Times New Roman"/>
          <w:sz w:val="24"/>
          <w:szCs w:val="24"/>
        </w:rPr>
        <w:t xml:space="preserve">vidence from the field, </w:t>
      </w:r>
      <w:r w:rsidR="00FD297B" w:rsidRPr="000A5BBD">
        <w:rPr>
          <w:rFonts w:ascii="Times New Roman" w:hAnsi="Times New Roman" w:cs="Times New Roman"/>
          <w:i/>
          <w:sz w:val="24"/>
          <w:szCs w:val="24"/>
        </w:rPr>
        <w:t>Journal of Financial Economics</w:t>
      </w:r>
      <w:r>
        <w:rPr>
          <w:rFonts w:ascii="Times New Roman" w:hAnsi="Times New Roman" w:cs="Times New Roman"/>
          <w:sz w:val="24"/>
          <w:szCs w:val="24"/>
        </w:rPr>
        <w:t>, 60, 187-</w:t>
      </w:r>
      <w:r w:rsidR="00FD297B" w:rsidRPr="00FD297B">
        <w:rPr>
          <w:rFonts w:ascii="Times New Roman" w:hAnsi="Times New Roman" w:cs="Times New Roman"/>
          <w:sz w:val="24"/>
          <w:szCs w:val="24"/>
        </w:rPr>
        <w:t>243</w:t>
      </w:r>
      <w:r>
        <w:rPr>
          <w:rFonts w:ascii="Times New Roman" w:hAnsi="Times New Roman" w:cs="Times New Roman"/>
          <w:sz w:val="24"/>
          <w:szCs w:val="24"/>
        </w:rPr>
        <w:t>.</w:t>
      </w:r>
    </w:p>
    <w:p w14:paraId="1E0B9155" w14:textId="7D85DB30" w:rsidR="007B5720" w:rsidRDefault="007B5720" w:rsidP="007B57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 Jenny, </w:t>
      </w:r>
      <w:r w:rsidRPr="00FD297B">
        <w:rPr>
          <w:rFonts w:ascii="Times New Roman" w:hAnsi="Times New Roman" w:cs="Times New Roman"/>
          <w:sz w:val="24"/>
          <w:szCs w:val="24"/>
        </w:rPr>
        <w:t>Jeffrey S. Jones</w:t>
      </w:r>
      <w:r>
        <w:rPr>
          <w:rFonts w:ascii="Times New Roman" w:hAnsi="Times New Roman" w:cs="Times New Roman"/>
          <w:sz w:val="24"/>
          <w:szCs w:val="24"/>
        </w:rPr>
        <w:t xml:space="preserve">, and </w:t>
      </w:r>
      <w:r w:rsidRPr="00FD297B">
        <w:rPr>
          <w:rFonts w:ascii="Times New Roman" w:hAnsi="Times New Roman" w:cs="Times New Roman"/>
          <w:sz w:val="24"/>
          <w:szCs w:val="24"/>
        </w:rPr>
        <w:t>Pu Liu</w:t>
      </w:r>
      <w:r>
        <w:rPr>
          <w:rFonts w:ascii="Times New Roman" w:hAnsi="Times New Roman" w:cs="Times New Roman"/>
          <w:sz w:val="24"/>
          <w:szCs w:val="24"/>
        </w:rPr>
        <w:t>, 2014,</w:t>
      </w:r>
      <w:r w:rsidRPr="007B5720">
        <w:rPr>
          <w:rFonts w:ascii="Times New Roman" w:hAnsi="Times New Roman" w:cs="Times New Roman"/>
          <w:sz w:val="24"/>
          <w:szCs w:val="24"/>
        </w:rPr>
        <w:t xml:space="preserve"> </w:t>
      </w:r>
      <w:r>
        <w:rPr>
          <w:rFonts w:ascii="Times New Roman" w:hAnsi="Times New Roman" w:cs="Times New Roman"/>
          <w:sz w:val="24"/>
          <w:szCs w:val="24"/>
        </w:rPr>
        <w:t>Do credit rating agencies sacrifice t</w:t>
      </w:r>
      <w:r w:rsidRPr="00FD297B">
        <w:rPr>
          <w:rFonts w:ascii="Times New Roman" w:hAnsi="Times New Roman" w:cs="Times New Roman"/>
          <w:sz w:val="24"/>
          <w:szCs w:val="24"/>
        </w:rPr>
        <w:t xml:space="preserve">imeliness </w:t>
      </w:r>
    </w:p>
    <w:p w14:paraId="279E3A4D" w14:textId="7229E679" w:rsidR="007B5720" w:rsidRDefault="007B5720" w:rsidP="007B5720">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by pursuing rating </w:t>
      </w:r>
      <w:proofErr w:type="gramStart"/>
      <w:r>
        <w:rPr>
          <w:rFonts w:ascii="Times New Roman" w:hAnsi="Times New Roman" w:cs="Times New Roman"/>
          <w:sz w:val="24"/>
          <w:szCs w:val="24"/>
        </w:rPr>
        <w:t>stability?</w:t>
      </w:r>
      <w:proofErr w:type="gramEnd"/>
      <w:r>
        <w:rPr>
          <w:rFonts w:ascii="Times New Roman" w:hAnsi="Times New Roman" w:cs="Times New Roman"/>
          <w:sz w:val="24"/>
          <w:szCs w:val="24"/>
        </w:rPr>
        <w:t xml:space="preserve"> Evidence from equity market r</w:t>
      </w:r>
      <w:r w:rsidRPr="00FD297B">
        <w:rPr>
          <w:rFonts w:ascii="Times New Roman" w:hAnsi="Times New Roman" w:cs="Times New Roman"/>
          <w:sz w:val="24"/>
          <w:szCs w:val="24"/>
        </w:rPr>
        <w:t xml:space="preserve">eactions to CreditWatch </w:t>
      </w:r>
    </w:p>
    <w:p w14:paraId="75340E29" w14:textId="3F05535F" w:rsidR="00FD297B" w:rsidRPr="00FD297B" w:rsidRDefault="007B5720" w:rsidP="007B5720">
      <w:pPr>
        <w:spacing w:after="0" w:line="240" w:lineRule="auto"/>
        <w:rPr>
          <w:rFonts w:ascii="Times New Roman" w:hAnsi="Times New Roman" w:cs="Times New Roman"/>
          <w:sz w:val="24"/>
          <w:szCs w:val="24"/>
        </w:rPr>
      </w:pPr>
      <w:r>
        <w:rPr>
          <w:rFonts w:ascii="Times New Roman" w:hAnsi="Times New Roman" w:cs="Times New Roman"/>
          <w:sz w:val="24"/>
          <w:szCs w:val="24"/>
        </w:rPr>
        <w:tab/>
        <w:t>e</w:t>
      </w:r>
      <w:r w:rsidRPr="00FD297B">
        <w:rPr>
          <w:rFonts w:ascii="Times New Roman" w:hAnsi="Times New Roman" w:cs="Times New Roman"/>
          <w:sz w:val="24"/>
          <w:szCs w:val="24"/>
        </w:rPr>
        <w:t>vents</w:t>
      </w:r>
      <w:r>
        <w:rPr>
          <w:rFonts w:ascii="Times New Roman" w:hAnsi="Times New Roman" w:cs="Times New Roman"/>
          <w:sz w:val="24"/>
          <w:szCs w:val="24"/>
        </w:rPr>
        <w:t xml:space="preserve">, </w:t>
      </w:r>
      <w:r w:rsidR="00FD297B" w:rsidRPr="007B5720">
        <w:rPr>
          <w:rFonts w:ascii="Times New Roman" w:hAnsi="Times New Roman" w:cs="Times New Roman"/>
          <w:i/>
          <w:sz w:val="24"/>
          <w:szCs w:val="24"/>
        </w:rPr>
        <w:t>Theoretical Economics Letters</w:t>
      </w:r>
      <w:r>
        <w:rPr>
          <w:rFonts w:ascii="Times New Roman" w:hAnsi="Times New Roman" w:cs="Times New Roman"/>
          <w:sz w:val="24"/>
          <w:szCs w:val="24"/>
        </w:rPr>
        <w:t xml:space="preserve">, 4, </w:t>
      </w:r>
      <w:r w:rsidR="00FD297B" w:rsidRPr="00FD297B">
        <w:rPr>
          <w:rFonts w:ascii="Times New Roman" w:hAnsi="Times New Roman" w:cs="Times New Roman"/>
          <w:sz w:val="24"/>
          <w:szCs w:val="24"/>
        </w:rPr>
        <w:t xml:space="preserve">311-322. </w:t>
      </w:r>
    </w:p>
    <w:p w14:paraId="2455E040" w14:textId="77777777" w:rsidR="00BF6FC1" w:rsidRDefault="00FD297B" w:rsidP="00BF6FC1">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 xml:space="preserve">Hand, John R. M., Robert W. </w:t>
      </w:r>
      <w:proofErr w:type="spellStart"/>
      <w:r w:rsidRPr="00FD297B">
        <w:rPr>
          <w:rFonts w:ascii="Times New Roman" w:hAnsi="Times New Roman" w:cs="Times New Roman"/>
          <w:sz w:val="24"/>
          <w:szCs w:val="24"/>
        </w:rPr>
        <w:t>Holthausen</w:t>
      </w:r>
      <w:proofErr w:type="spellEnd"/>
      <w:r w:rsidRPr="00FD297B">
        <w:rPr>
          <w:rFonts w:ascii="Times New Roman" w:hAnsi="Times New Roman" w:cs="Times New Roman"/>
          <w:sz w:val="24"/>
          <w:szCs w:val="24"/>
        </w:rPr>
        <w:t xml:space="preserve">, and Richard W. Leftwich, 1992, The effect of bond </w:t>
      </w:r>
    </w:p>
    <w:p w14:paraId="19F4768B" w14:textId="77777777" w:rsidR="00BF6FC1" w:rsidRDefault="00BF6FC1" w:rsidP="00BF6FC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 xml:space="preserve">rating agency announcement on bond and stock prices, </w:t>
      </w:r>
      <w:r w:rsidR="00FD297B" w:rsidRPr="00BF6FC1">
        <w:rPr>
          <w:rFonts w:ascii="Times New Roman" w:hAnsi="Times New Roman" w:cs="Times New Roman"/>
          <w:i/>
          <w:sz w:val="24"/>
          <w:szCs w:val="24"/>
        </w:rPr>
        <w:t>Journal of Finance</w:t>
      </w:r>
      <w:r>
        <w:rPr>
          <w:rFonts w:ascii="Times New Roman" w:hAnsi="Times New Roman" w:cs="Times New Roman"/>
          <w:sz w:val="24"/>
          <w:szCs w:val="24"/>
        </w:rPr>
        <w:t xml:space="preserve">, </w:t>
      </w:r>
      <w:r w:rsidR="00FD297B" w:rsidRPr="00FD297B">
        <w:rPr>
          <w:rFonts w:ascii="Times New Roman" w:hAnsi="Times New Roman" w:cs="Times New Roman"/>
          <w:sz w:val="24"/>
          <w:szCs w:val="24"/>
        </w:rPr>
        <w:t>47, 733-</w:t>
      </w:r>
    </w:p>
    <w:p w14:paraId="2B3CE7EC" w14:textId="56FA2D4F" w:rsidR="00FD297B" w:rsidRPr="00FD297B" w:rsidRDefault="00BF6FC1" w:rsidP="00BF6FC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752.</w:t>
      </w:r>
    </w:p>
    <w:p w14:paraId="15300E83" w14:textId="77777777" w:rsidR="00602AB9" w:rsidRDefault="00602AB9" w:rsidP="00602AB9">
      <w:pPr>
        <w:spacing w:after="0" w:line="240" w:lineRule="auto"/>
        <w:rPr>
          <w:rFonts w:ascii="Times New Roman" w:hAnsi="Times New Roman" w:cs="Times New Roman"/>
          <w:sz w:val="24"/>
          <w:szCs w:val="24"/>
        </w:rPr>
      </w:pPr>
      <w:proofErr w:type="spellStart"/>
      <w:r w:rsidRPr="00FD297B">
        <w:rPr>
          <w:rFonts w:ascii="Times New Roman" w:hAnsi="Times New Roman" w:cs="Times New Roman"/>
          <w:sz w:val="24"/>
          <w:szCs w:val="24"/>
        </w:rPr>
        <w:t>Holthausen</w:t>
      </w:r>
      <w:proofErr w:type="spellEnd"/>
      <w:r>
        <w:rPr>
          <w:rFonts w:ascii="Times New Roman" w:hAnsi="Times New Roman" w:cs="Times New Roman"/>
          <w:sz w:val="24"/>
          <w:szCs w:val="24"/>
        </w:rPr>
        <w:t>, Robert W.,</w:t>
      </w:r>
      <w:r w:rsidRPr="00FD297B">
        <w:rPr>
          <w:rFonts w:ascii="Times New Roman" w:hAnsi="Times New Roman" w:cs="Times New Roman"/>
          <w:sz w:val="24"/>
          <w:szCs w:val="24"/>
        </w:rPr>
        <w:t xml:space="preserve"> and Richard W. Leftwich</w:t>
      </w:r>
      <w:r>
        <w:rPr>
          <w:rFonts w:ascii="Times New Roman" w:hAnsi="Times New Roman" w:cs="Times New Roman"/>
          <w:sz w:val="24"/>
          <w:szCs w:val="24"/>
        </w:rPr>
        <w:t xml:space="preserve">, 1986, </w:t>
      </w:r>
      <w:r w:rsidR="00FD297B" w:rsidRPr="00FD297B">
        <w:rPr>
          <w:rFonts w:ascii="Times New Roman" w:hAnsi="Times New Roman" w:cs="Times New Roman"/>
          <w:sz w:val="24"/>
          <w:szCs w:val="24"/>
        </w:rPr>
        <w:t xml:space="preserve">The effect of bond rating changes on </w:t>
      </w:r>
    </w:p>
    <w:p w14:paraId="5A9A0E44" w14:textId="1285FAA2" w:rsidR="00FD297B" w:rsidRPr="00FD297B" w:rsidRDefault="00602AB9" w:rsidP="00602AB9">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common stock prices</w:t>
      </w:r>
      <w:r>
        <w:rPr>
          <w:rFonts w:ascii="Times New Roman" w:hAnsi="Times New Roman" w:cs="Times New Roman"/>
          <w:sz w:val="24"/>
          <w:szCs w:val="24"/>
        </w:rPr>
        <w:t>,</w:t>
      </w:r>
      <w:r w:rsidR="00FD297B" w:rsidRPr="00FD297B">
        <w:rPr>
          <w:rFonts w:ascii="Times New Roman" w:hAnsi="Times New Roman" w:cs="Times New Roman"/>
          <w:sz w:val="24"/>
          <w:szCs w:val="24"/>
        </w:rPr>
        <w:t xml:space="preserve"> </w:t>
      </w:r>
      <w:r w:rsidR="00FD297B" w:rsidRPr="00602AB9">
        <w:rPr>
          <w:rFonts w:ascii="Times New Roman" w:hAnsi="Times New Roman" w:cs="Times New Roman"/>
          <w:i/>
          <w:sz w:val="24"/>
          <w:szCs w:val="24"/>
        </w:rPr>
        <w:t>Journal of Financial Economics</w:t>
      </w:r>
      <w:r>
        <w:rPr>
          <w:rFonts w:ascii="Times New Roman" w:hAnsi="Times New Roman" w:cs="Times New Roman"/>
          <w:sz w:val="24"/>
          <w:szCs w:val="24"/>
        </w:rPr>
        <w:t xml:space="preserve">, 1986, </w:t>
      </w:r>
      <w:r w:rsidR="00FD297B" w:rsidRPr="00FD297B">
        <w:rPr>
          <w:rFonts w:ascii="Times New Roman" w:hAnsi="Times New Roman" w:cs="Times New Roman"/>
          <w:sz w:val="24"/>
          <w:szCs w:val="24"/>
        </w:rPr>
        <w:t>17, 57-89</w:t>
      </w:r>
      <w:r>
        <w:rPr>
          <w:rFonts w:ascii="Times New Roman" w:hAnsi="Times New Roman" w:cs="Times New Roman"/>
          <w:sz w:val="24"/>
          <w:szCs w:val="24"/>
        </w:rPr>
        <w:t>.</w:t>
      </w:r>
    </w:p>
    <w:p w14:paraId="6D3D9E6C" w14:textId="77777777" w:rsidR="00A31D95" w:rsidRDefault="00A31D95" w:rsidP="00A31D95">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 xml:space="preserve">Hull, </w:t>
      </w:r>
      <w:r>
        <w:rPr>
          <w:rFonts w:ascii="Times New Roman" w:hAnsi="Times New Roman" w:cs="Times New Roman"/>
          <w:sz w:val="24"/>
          <w:szCs w:val="24"/>
        </w:rPr>
        <w:t xml:space="preserve">John, </w:t>
      </w:r>
      <w:r w:rsidRPr="00FD297B">
        <w:rPr>
          <w:rFonts w:ascii="Times New Roman" w:hAnsi="Times New Roman" w:cs="Times New Roman"/>
          <w:sz w:val="24"/>
          <w:szCs w:val="24"/>
        </w:rPr>
        <w:t xml:space="preserve">Mirela </w:t>
      </w:r>
      <w:proofErr w:type="spellStart"/>
      <w:r w:rsidRPr="00FD297B">
        <w:rPr>
          <w:rFonts w:ascii="Times New Roman" w:hAnsi="Times New Roman" w:cs="Times New Roman"/>
          <w:sz w:val="24"/>
          <w:szCs w:val="24"/>
        </w:rPr>
        <w:t>Predescu</w:t>
      </w:r>
      <w:proofErr w:type="spellEnd"/>
      <w:r w:rsidRPr="00FD297B">
        <w:rPr>
          <w:rFonts w:ascii="Times New Roman" w:hAnsi="Times New Roman" w:cs="Times New Roman"/>
          <w:sz w:val="24"/>
          <w:szCs w:val="24"/>
        </w:rPr>
        <w:t xml:space="preserve"> and Alan White</w:t>
      </w:r>
      <w:r>
        <w:rPr>
          <w:rFonts w:ascii="Times New Roman" w:hAnsi="Times New Roman" w:cs="Times New Roman"/>
          <w:sz w:val="24"/>
          <w:szCs w:val="24"/>
        </w:rPr>
        <w:t>, 2004,</w:t>
      </w:r>
      <w:r w:rsidRPr="00FD297B">
        <w:rPr>
          <w:rFonts w:ascii="Times New Roman" w:hAnsi="Times New Roman" w:cs="Times New Roman"/>
          <w:sz w:val="24"/>
          <w:szCs w:val="24"/>
        </w:rPr>
        <w:t xml:space="preserve"> </w:t>
      </w:r>
      <w:r w:rsidR="00FD297B" w:rsidRPr="00FD297B">
        <w:rPr>
          <w:rFonts w:ascii="Times New Roman" w:hAnsi="Times New Roman" w:cs="Times New Roman"/>
          <w:sz w:val="24"/>
          <w:szCs w:val="24"/>
        </w:rPr>
        <w:t>The relations</w:t>
      </w:r>
      <w:r>
        <w:rPr>
          <w:rFonts w:ascii="Times New Roman" w:hAnsi="Times New Roman" w:cs="Times New Roman"/>
          <w:sz w:val="24"/>
          <w:szCs w:val="24"/>
        </w:rPr>
        <w:t xml:space="preserve">hip between credit default </w:t>
      </w:r>
      <w:proofErr w:type="gramStart"/>
      <w:r>
        <w:rPr>
          <w:rFonts w:ascii="Times New Roman" w:hAnsi="Times New Roman" w:cs="Times New Roman"/>
          <w:sz w:val="24"/>
          <w:szCs w:val="24"/>
        </w:rPr>
        <w:t>swap</w:t>
      </w:r>
      <w:proofErr w:type="gramEnd"/>
      <w:r>
        <w:rPr>
          <w:rFonts w:ascii="Times New Roman" w:hAnsi="Times New Roman" w:cs="Times New Roman"/>
          <w:sz w:val="24"/>
          <w:szCs w:val="24"/>
        </w:rPr>
        <w:t xml:space="preserve"> </w:t>
      </w:r>
    </w:p>
    <w:p w14:paraId="2501EB27" w14:textId="77777777" w:rsidR="00A31D95" w:rsidRDefault="00A31D95" w:rsidP="00A31D9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spreads, bond yields, and credit rating announcements</w:t>
      </w:r>
      <w:r>
        <w:rPr>
          <w:rFonts w:ascii="Times New Roman" w:hAnsi="Times New Roman" w:cs="Times New Roman"/>
          <w:sz w:val="24"/>
          <w:szCs w:val="24"/>
        </w:rPr>
        <w:t xml:space="preserve">, </w:t>
      </w:r>
      <w:r w:rsidR="00FD297B" w:rsidRPr="00A31D95">
        <w:rPr>
          <w:rFonts w:ascii="Times New Roman" w:hAnsi="Times New Roman" w:cs="Times New Roman"/>
          <w:i/>
          <w:sz w:val="24"/>
          <w:szCs w:val="24"/>
        </w:rPr>
        <w:t>Journal of Banking &amp; Finance</w:t>
      </w:r>
      <w:r>
        <w:rPr>
          <w:rFonts w:ascii="Times New Roman" w:hAnsi="Times New Roman" w:cs="Times New Roman"/>
          <w:sz w:val="24"/>
          <w:szCs w:val="24"/>
        </w:rPr>
        <w:t xml:space="preserve">, </w:t>
      </w:r>
    </w:p>
    <w:p w14:paraId="6322361F" w14:textId="21A736BD" w:rsidR="00FD297B" w:rsidRPr="00FD297B" w:rsidRDefault="00A31D95" w:rsidP="00A31D9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28, 2789-2811</w:t>
      </w:r>
      <w:r>
        <w:rPr>
          <w:rFonts w:ascii="Times New Roman" w:hAnsi="Times New Roman" w:cs="Times New Roman"/>
          <w:sz w:val="24"/>
          <w:szCs w:val="24"/>
        </w:rPr>
        <w:t>.</w:t>
      </w:r>
    </w:p>
    <w:p w14:paraId="328320EC" w14:textId="5A724F4C" w:rsidR="00FD297B" w:rsidRDefault="00FD297B" w:rsidP="00B56E8C">
      <w:pPr>
        <w:spacing w:after="0" w:line="240" w:lineRule="auto"/>
        <w:rPr>
          <w:rFonts w:ascii="Times New Roman" w:hAnsi="Times New Roman" w:cs="Times New Roman"/>
          <w:sz w:val="24"/>
          <w:szCs w:val="24"/>
        </w:rPr>
      </w:pPr>
      <w:proofErr w:type="spellStart"/>
      <w:r w:rsidRPr="00FD297B">
        <w:rPr>
          <w:rFonts w:ascii="Times New Roman" w:hAnsi="Times New Roman" w:cs="Times New Roman"/>
          <w:sz w:val="24"/>
          <w:szCs w:val="24"/>
        </w:rPr>
        <w:t>Kisgen</w:t>
      </w:r>
      <w:proofErr w:type="spellEnd"/>
      <w:r w:rsidRPr="00FD297B">
        <w:rPr>
          <w:rFonts w:ascii="Times New Roman" w:hAnsi="Times New Roman" w:cs="Times New Roman"/>
          <w:sz w:val="24"/>
          <w:szCs w:val="24"/>
        </w:rPr>
        <w:t>, D</w:t>
      </w:r>
      <w:r w:rsidR="00B56E8C">
        <w:rPr>
          <w:rFonts w:ascii="Times New Roman" w:hAnsi="Times New Roman" w:cs="Times New Roman"/>
          <w:sz w:val="24"/>
          <w:szCs w:val="24"/>
        </w:rPr>
        <w:t xml:space="preserve">arren J., </w:t>
      </w:r>
      <w:r w:rsidRPr="00FD297B">
        <w:rPr>
          <w:rFonts w:ascii="Times New Roman" w:hAnsi="Times New Roman" w:cs="Times New Roman"/>
          <w:sz w:val="24"/>
          <w:szCs w:val="24"/>
        </w:rPr>
        <w:t>20</w:t>
      </w:r>
      <w:r w:rsidR="00B56E8C">
        <w:rPr>
          <w:rFonts w:ascii="Times New Roman" w:hAnsi="Times New Roman" w:cs="Times New Roman"/>
          <w:sz w:val="24"/>
          <w:szCs w:val="24"/>
        </w:rPr>
        <w:t xml:space="preserve">06. Credit ratings and capital structure, </w:t>
      </w:r>
      <w:r w:rsidRPr="00B56E8C">
        <w:rPr>
          <w:rFonts w:ascii="Times New Roman" w:hAnsi="Times New Roman" w:cs="Times New Roman"/>
          <w:i/>
          <w:sz w:val="24"/>
          <w:szCs w:val="24"/>
        </w:rPr>
        <w:t>Journal of Finance</w:t>
      </w:r>
      <w:r w:rsidR="00B56E8C">
        <w:rPr>
          <w:rFonts w:ascii="Times New Roman" w:hAnsi="Times New Roman" w:cs="Times New Roman"/>
          <w:sz w:val="24"/>
          <w:szCs w:val="24"/>
        </w:rPr>
        <w:t xml:space="preserve">, </w:t>
      </w:r>
      <w:r w:rsidRPr="00FD297B">
        <w:rPr>
          <w:rFonts w:ascii="Times New Roman" w:hAnsi="Times New Roman" w:cs="Times New Roman"/>
          <w:sz w:val="24"/>
          <w:szCs w:val="24"/>
        </w:rPr>
        <w:t>61</w:t>
      </w:r>
      <w:r w:rsidR="00B56E8C">
        <w:rPr>
          <w:rFonts w:ascii="Times New Roman" w:hAnsi="Times New Roman" w:cs="Times New Roman"/>
          <w:sz w:val="24"/>
          <w:szCs w:val="24"/>
        </w:rPr>
        <w:t xml:space="preserve">, </w:t>
      </w:r>
      <w:r w:rsidRPr="00FD297B">
        <w:rPr>
          <w:rFonts w:ascii="Times New Roman" w:hAnsi="Times New Roman" w:cs="Times New Roman"/>
          <w:sz w:val="24"/>
          <w:szCs w:val="24"/>
        </w:rPr>
        <w:t>1035-1072.</w:t>
      </w:r>
    </w:p>
    <w:p w14:paraId="219CD69F" w14:textId="77777777" w:rsidR="00B56E8C" w:rsidRDefault="00B56E8C" w:rsidP="00B56E8C">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M</w:t>
      </w:r>
      <w:r w:rsidR="00FD297B" w:rsidRPr="00FD297B">
        <w:rPr>
          <w:rFonts w:ascii="Times New Roman" w:hAnsi="Times New Roman" w:cs="Times New Roman"/>
          <w:sz w:val="24"/>
          <w:szCs w:val="24"/>
        </w:rPr>
        <w:t>illon</w:t>
      </w:r>
      <w:proofErr w:type="spellEnd"/>
      <w:r w:rsidR="00FD297B" w:rsidRPr="00FD297B">
        <w:rPr>
          <w:rFonts w:ascii="Times New Roman" w:hAnsi="Times New Roman" w:cs="Times New Roman"/>
          <w:sz w:val="24"/>
          <w:szCs w:val="24"/>
        </w:rPr>
        <w:t xml:space="preserve"> ,</w:t>
      </w:r>
      <w:proofErr w:type="gramEnd"/>
      <w:r w:rsidR="00FD297B" w:rsidRPr="00FD297B">
        <w:rPr>
          <w:rFonts w:ascii="Times New Roman" w:hAnsi="Times New Roman" w:cs="Times New Roman"/>
          <w:sz w:val="24"/>
          <w:szCs w:val="24"/>
        </w:rPr>
        <w:t xml:space="preserve"> Marcia H., and </w:t>
      </w:r>
      <w:proofErr w:type="spellStart"/>
      <w:r w:rsidR="00FD297B" w:rsidRPr="00FD297B">
        <w:rPr>
          <w:rFonts w:ascii="Times New Roman" w:hAnsi="Times New Roman" w:cs="Times New Roman"/>
          <w:sz w:val="24"/>
          <w:szCs w:val="24"/>
        </w:rPr>
        <w:t>Anjon</w:t>
      </w:r>
      <w:proofErr w:type="spellEnd"/>
      <w:r w:rsidR="00FD297B" w:rsidRPr="00FD297B">
        <w:rPr>
          <w:rFonts w:ascii="Times New Roman" w:hAnsi="Times New Roman" w:cs="Times New Roman"/>
          <w:sz w:val="24"/>
          <w:szCs w:val="24"/>
        </w:rPr>
        <w:t xml:space="preserve"> V. </w:t>
      </w:r>
      <w:proofErr w:type="spellStart"/>
      <w:r w:rsidR="00FD297B" w:rsidRPr="00FD297B">
        <w:rPr>
          <w:rFonts w:ascii="Times New Roman" w:hAnsi="Times New Roman" w:cs="Times New Roman"/>
          <w:sz w:val="24"/>
          <w:szCs w:val="24"/>
        </w:rPr>
        <w:t>Thakor</w:t>
      </w:r>
      <w:proofErr w:type="spellEnd"/>
      <w:r w:rsidR="00FD297B" w:rsidRPr="00FD297B">
        <w:rPr>
          <w:rFonts w:ascii="Times New Roman" w:hAnsi="Times New Roman" w:cs="Times New Roman"/>
          <w:sz w:val="24"/>
          <w:szCs w:val="24"/>
        </w:rPr>
        <w:t xml:space="preserve">, 1985, Moral hazard and information financial </w:t>
      </w:r>
    </w:p>
    <w:p w14:paraId="6B92D985" w14:textId="3F9D57C2" w:rsidR="00FD297B" w:rsidRPr="00FD297B" w:rsidRDefault="00B56E8C" w:rsidP="00B56E8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 xml:space="preserve">information gathering agencies, </w:t>
      </w:r>
      <w:r w:rsidR="00FD297B" w:rsidRPr="00B56E8C">
        <w:rPr>
          <w:rFonts w:ascii="Times New Roman" w:hAnsi="Times New Roman" w:cs="Times New Roman"/>
          <w:i/>
          <w:sz w:val="24"/>
          <w:szCs w:val="24"/>
        </w:rPr>
        <w:t>Journal of Finance</w:t>
      </w:r>
      <w:r w:rsidR="00FD297B" w:rsidRPr="00FD297B">
        <w:rPr>
          <w:rFonts w:ascii="Times New Roman" w:hAnsi="Times New Roman" w:cs="Times New Roman"/>
          <w:sz w:val="24"/>
          <w:szCs w:val="24"/>
        </w:rPr>
        <w:t>, 40, 1403-1422.</w:t>
      </w:r>
    </w:p>
    <w:p w14:paraId="3B4D83C7" w14:textId="77777777" w:rsidR="003540BA" w:rsidRDefault="003540BA" w:rsidP="00354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Norden, Lars, and Martin Weber, 2004, </w:t>
      </w:r>
      <w:r w:rsidR="00FD297B" w:rsidRPr="00FD297B">
        <w:rPr>
          <w:rFonts w:ascii="Times New Roman" w:hAnsi="Times New Roman" w:cs="Times New Roman"/>
          <w:sz w:val="24"/>
          <w:szCs w:val="24"/>
        </w:rPr>
        <w:t xml:space="preserve">Informational efficiency of credit default swap and stock </w:t>
      </w:r>
    </w:p>
    <w:p w14:paraId="43F717DF" w14:textId="77777777" w:rsidR="003540BA" w:rsidRDefault="003540BA" w:rsidP="003540B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FD297B">
        <w:rPr>
          <w:rFonts w:ascii="Times New Roman" w:hAnsi="Times New Roman" w:cs="Times New Roman"/>
          <w:sz w:val="24"/>
          <w:szCs w:val="24"/>
        </w:rPr>
        <w:t>markets: The impact of credit rating announcements</w:t>
      </w:r>
      <w:r>
        <w:rPr>
          <w:rFonts w:ascii="Times New Roman" w:hAnsi="Times New Roman" w:cs="Times New Roman"/>
          <w:sz w:val="24"/>
          <w:szCs w:val="24"/>
        </w:rPr>
        <w:t xml:space="preserve">, </w:t>
      </w:r>
      <w:r w:rsidR="00FD297B" w:rsidRPr="003540BA">
        <w:rPr>
          <w:rFonts w:ascii="Times New Roman" w:hAnsi="Times New Roman" w:cs="Times New Roman"/>
          <w:i/>
          <w:sz w:val="24"/>
          <w:szCs w:val="24"/>
        </w:rPr>
        <w:t>Journal of Banking &amp; Finance</w:t>
      </w:r>
      <w:r w:rsidR="00FD297B" w:rsidRPr="00FD297B">
        <w:rPr>
          <w:rFonts w:ascii="Times New Roman" w:hAnsi="Times New Roman" w:cs="Times New Roman"/>
          <w:sz w:val="24"/>
          <w:szCs w:val="24"/>
        </w:rPr>
        <w:t xml:space="preserve">, </w:t>
      </w:r>
    </w:p>
    <w:p w14:paraId="7BAFB0B5" w14:textId="4966D302" w:rsidR="00FD297B" w:rsidRPr="00FD297B" w:rsidRDefault="003540BA" w:rsidP="003540B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28, </w:t>
      </w:r>
      <w:r w:rsidR="00FD297B" w:rsidRPr="00FD297B">
        <w:rPr>
          <w:rFonts w:ascii="Times New Roman" w:hAnsi="Times New Roman" w:cs="Times New Roman"/>
          <w:sz w:val="24"/>
          <w:szCs w:val="24"/>
        </w:rPr>
        <w:t>2813-2843</w:t>
      </w:r>
    </w:p>
    <w:p w14:paraId="67B3CD1D" w14:textId="77777777" w:rsidR="00B03145" w:rsidRPr="00B36E07" w:rsidRDefault="00B03145" w:rsidP="00B03145">
      <w:pPr>
        <w:spacing w:after="0" w:line="240" w:lineRule="auto"/>
        <w:rPr>
          <w:rFonts w:ascii="Times New Roman" w:hAnsi="Times New Roman" w:cs="Times New Roman"/>
          <w:i/>
          <w:sz w:val="24"/>
          <w:szCs w:val="24"/>
        </w:rPr>
      </w:pPr>
      <w:r w:rsidRPr="00B36E07">
        <w:rPr>
          <w:rFonts w:ascii="Times New Roman" w:hAnsi="Times New Roman" w:cs="Times New Roman"/>
          <w:sz w:val="24"/>
          <w:szCs w:val="24"/>
        </w:rPr>
        <w:t>Reinhart, Carmen M., 2002, Default, currency c</w:t>
      </w:r>
      <w:r w:rsidR="00FD297B" w:rsidRPr="00B36E07">
        <w:rPr>
          <w:rFonts w:ascii="Times New Roman" w:hAnsi="Times New Roman" w:cs="Times New Roman"/>
          <w:sz w:val="24"/>
          <w:szCs w:val="24"/>
        </w:rPr>
        <w:t>rise</w:t>
      </w:r>
      <w:r w:rsidRPr="00B36E07">
        <w:rPr>
          <w:rFonts w:ascii="Times New Roman" w:hAnsi="Times New Roman" w:cs="Times New Roman"/>
          <w:sz w:val="24"/>
          <w:szCs w:val="24"/>
        </w:rPr>
        <w:t xml:space="preserve">s, and sovereign credit ratings, </w:t>
      </w:r>
      <w:r w:rsidR="00FD297B" w:rsidRPr="00B36E07">
        <w:rPr>
          <w:rFonts w:ascii="Times New Roman" w:hAnsi="Times New Roman" w:cs="Times New Roman"/>
          <w:i/>
          <w:sz w:val="24"/>
          <w:szCs w:val="24"/>
        </w:rPr>
        <w:t xml:space="preserve">World Bank </w:t>
      </w:r>
    </w:p>
    <w:p w14:paraId="105F6ED2" w14:textId="1EFD0900" w:rsidR="00FD297B" w:rsidRPr="00B36E07" w:rsidRDefault="00B03145" w:rsidP="00B03145">
      <w:pPr>
        <w:spacing w:after="0" w:line="240" w:lineRule="auto"/>
        <w:rPr>
          <w:rFonts w:ascii="Times New Roman" w:hAnsi="Times New Roman" w:cs="Times New Roman"/>
          <w:sz w:val="24"/>
          <w:szCs w:val="24"/>
        </w:rPr>
      </w:pPr>
      <w:r w:rsidRPr="00B36E07">
        <w:rPr>
          <w:rFonts w:ascii="Times New Roman" w:hAnsi="Times New Roman" w:cs="Times New Roman"/>
          <w:i/>
          <w:sz w:val="24"/>
          <w:szCs w:val="24"/>
        </w:rPr>
        <w:tab/>
      </w:r>
      <w:r w:rsidR="00FD297B" w:rsidRPr="00B36E07">
        <w:rPr>
          <w:rFonts w:ascii="Times New Roman" w:hAnsi="Times New Roman" w:cs="Times New Roman"/>
          <w:i/>
          <w:sz w:val="24"/>
          <w:szCs w:val="24"/>
        </w:rPr>
        <w:t>Economic Review</w:t>
      </w:r>
      <w:r w:rsidRPr="00B36E07">
        <w:rPr>
          <w:rFonts w:ascii="Times New Roman" w:hAnsi="Times New Roman" w:cs="Times New Roman"/>
          <w:sz w:val="24"/>
          <w:szCs w:val="24"/>
        </w:rPr>
        <w:t xml:space="preserve">, </w:t>
      </w:r>
      <w:r w:rsidR="00FD297B" w:rsidRPr="00B36E07">
        <w:rPr>
          <w:rFonts w:ascii="Times New Roman" w:hAnsi="Times New Roman" w:cs="Times New Roman"/>
          <w:sz w:val="24"/>
          <w:szCs w:val="24"/>
        </w:rPr>
        <w:t>16, 151-170.</w:t>
      </w:r>
    </w:p>
    <w:p w14:paraId="67B6A5CB" w14:textId="77777777" w:rsidR="00B36E07" w:rsidRDefault="00B36E07" w:rsidP="00B36E07">
      <w:pPr>
        <w:spacing w:after="0" w:line="240" w:lineRule="auto"/>
        <w:rPr>
          <w:rFonts w:ascii="Times New Roman" w:hAnsi="Times New Roman" w:cs="Times New Roman"/>
          <w:sz w:val="24"/>
          <w:szCs w:val="24"/>
        </w:rPr>
      </w:pPr>
      <w:r w:rsidRPr="00B36E07">
        <w:rPr>
          <w:rFonts w:ascii="Times New Roman" w:hAnsi="Times New Roman" w:cs="Times New Roman"/>
          <w:sz w:val="24"/>
          <w:szCs w:val="24"/>
        </w:rPr>
        <w:t xml:space="preserve">Standard and Poor's, 2001a, Stock Reports (Standard and Poor's Retail Information Services, </w:t>
      </w:r>
    </w:p>
    <w:p w14:paraId="2030785C" w14:textId="49AD8F01" w:rsidR="00B36E07" w:rsidRPr="00B36E07" w:rsidRDefault="00B36E07" w:rsidP="00B36E0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B36E07">
        <w:rPr>
          <w:rFonts w:ascii="Times New Roman" w:hAnsi="Times New Roman" w:cs="Times New Roman"/>
          <w:sz w:val="24"/>
          <w:szCs w:val="24"/>
        </w:rPr>
        <w:t>New York).</w:t>
      </w:r>
    </w:p>
    <w:p w14:paraId="57DBA407" w14:textId="77777777" w:rsidR="00B36E07" w:rsidRPr="00FD297B" w:rsidRDefault="00B36E07" w:rsidP="00B36E07">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Standard and Poor's, 2001b, Corporate Ratings Criteria (McGraw-Hill, New York).</w:t>
      </w:r>
    </w:p>
    <w:p w14:paraId="5A608740" w14:textId="77777777" w:rsidR="00F35D32" w:rsidRDefault="00F35D32" w:rsidP="00F35D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Sy, Amadou N. R., 2004, </w:t>
      </w:r>
      <w:r w:rsidRPr="00FD297B">
        <w:rPr>
          <w:rFonts w:ascii="Times New Roman" w:hAnsi="Times New Roman" w:cs="Times New Roman"/>
          <w:sz w:val="24"/>
          <w:szCs w:val="24"/>
        </w:rPr>
        <w:t xml:space="preserve">Rating the rating agencies: Anticipating currency crises or debt </w:t>
      </w:r>
      <w:proofErr w:type="gramStart"/>
      <w:r w:rsidRPr="00FD297B">
        <w:rPr>
          <w:rFonts w:ascii="Times New Roman" w:hAnsi="Times New Roman" w:cs="Times New Roman"/>
          <w:sz w:val="24"/>
          <w:szCs w:val="24"/>
        </w:rPr>
        <w:t>crises?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38150F72" w14:textId="4B03A27A" w:rsidR="00F35D32" w:rsidRDefault="00F35D32" w:rsidP="00F35D3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35D32">
        <w:rPr>
          <w:rFonts w:ascii="Times New Roman" w:hAnsi="Times New Roman" w:cs="Times New Roman"/>
          <w:i/>
          <w:sz w:val="24"/>
          <w:szCs w:val="24"/>
        </w:rPr>
        <w:t>Journal of Banking &amp; Finance</w:t>
      </w:r>
      <w:r>
        <w:rPr>
          <w:rFonts w:ascii="Times New Roman" w:hAnsi="Times New Roman" w:cs="Times New Roman"/>
          <w:sz w:val="24"/>
          <w:szCs w:val="24"/>
        </w:rPr>
        <w:t xml:space="preserve">, 2004, </w:t>
      </w:r>
      <w:r w:rsidRPr="00FD297B">
        <w:rPr>
          <w:rFonts w:ascii="Times New Roman" w:hAnsi="Times New Roman" w:cs="Times New Roman"/>
          <w:sz w:val="24"/>
          <w:szCs w:val="24"/>
        </w:rPr>
        <w:t>28, 2845-2867</w:t>
      </w:r>
      <w:r>
        <w:rPr>
          <w:rFonts w:ascii="Times New Roman" w:hAnsi="Times New Roman" w:cs="Times New Roman"/>
          <w:sz w:val="24"/>
          <w:szCs w:val="24"/>
        </w:rPr>
        <w:t>.</w:t>
      </w:r>
    </w:p>
    <w:p w14:paraId="5F12B8CF" w14:textId="77777777" w:rsidR="00441A70" w:rsidRDefault="00FD297B" w:rsidP="00441A70">
      <w:pPr>
        <w:spacing w:after="0" w:line="240" w:lineRule="auto"/>
        <w:rPr>
          <w:rFonts w:ascii="Times New Roman" w:hAnsi="Times New Roman" w:cs="Times New Roman"/>
          <w:sz w:val="24"/>
          <w:szCs w:val="24"/>
        </w:rPr>
      </w:pPr>
      <w:r w:rsidRPr="00FD297B">
        <w:rPr>
          <w:rFonts w:ascii="Times New Roman" w:hAnsi="Times New Roman" w:cs="Times New Roman"/>
          <w:sz w:val="24"/>
          <w:szCs w:val="24"/>
        </w:rPr>
        <w:t xml:space="preserve">West, Richard R., 1973, Bond ratings, bond yields and financial regulation: Some findings, </w:t>
      </w:r>
    </w:p>
    <w:p w14:paraId="231859D2" w14:textId="0DF48E10" w:rsidR="00FD297B" w:rsidRPr="00FD297B" w:rsidRDefault="00441A70" w:rsidP="00441A70">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D297B" w:rsidRPr="00441A70">
        <w:rPr>
          <w:rFonts w:ascii="Times New Roman" w:hAnsi="Times New Roman" w:cs="Times New Roman"/>
          <w:i/>
          <w:sz w:val="24"/>
          <w:szCs w:val="24"/>
        </w:rPr>
        <w:t>Journal of Law and Economics</w:t>
      </w:r>
      <w:r>
        <w:rPr>
          <w:rFonts w:ascii="Times New Roman" w:hAnsi="Times New Roman" w:cs="Times New Roman"/>
          <w:sz w:val="24"/>
          <w:szCs w:val="24"/>
        </w:rPr>
        <w:t xml:space="preserve">, </w:t>
      </w:r>
      <w:r w:rsidR="00FD297B" w:rsidRPr="00FD297B">
        <w:rPr>
          <w:rFonts w:ascii="Times New Roman" w:hAnsi="Times New Roman" w:cs="Times New Roman"/>
          <w:sz w:val="24"/>
          <w:szCs w:val="24"/>
        </w:rPr>
        <w:t xml:space="preserve">16, 159-168. </w:t>
      </w:r>
    </w:p>
    <w:p w14:paraId="256C4BA1" w14:textId="1E797FDF" w:rsidR="00C74273" w:rsidRDefault="00C74273"/>
    <w:p w14:paraId="362B5E7C" w14:textId="057CF102" w:rsidR="00280673" w:rsidRDefault="00280673"/>
    <w:p w14:paraId="25369047" w14:textId="07A375EF" w:rsidR="00280673" w:rsidRDefault="00280673"/>
    <w:p w14:paraId="24F00048" w14:textId="307F8085" w:rsidR="00280673" w:rsidRDefault="00280673"/>
    <w:p w14:paraId="26723FD7" w14:textId="49A91DE0" w:rsidR="00280673" w:rsidRDefault="00280673"/>
    <w:p w14:paraId="77EBED64" w14:textId="35CB5618" w:rsidR="00280673" w:rsidRDefault="00280673"/>
    <w:p w14:paraId="54B2ABE9" w14:textId="04FBF9D3" w:rsidR="00280673" w:rsidRDefault="00280673"/>
    <w:p w14:paraId="51ABD391" w14:textId="71C8E8E7" w:rsidR="00280673" w:rsidRDefault="00280673"/>
    <w:p w14:paraId="439BCF0B" w14:textId="0A03DDA6" w:rsidR="00280673" w:rsidRDefault="00280673"/>
    <w:p w14:paraId="515AD98F" w14:textId="347652CA" w:rsidR="00280673" w:rsidRDefault="00280673"/>
    <w:p w14:paraId="3A52D91D" w14:textId="60E3F61E" w:rsidR="00280673" w:rsidRDefault="00280673"/>
    <w:p w14:paraId="2465C4E7" w14:textId="6C0BABC3" w:rsidR="00280673" w:rsidRDefault="00280673"/>
    <w:p w14:paraId="16C94A8F" w14:textId="46939135" w:rsidR="00280673" w:rsidRDefault="00280673"/>
    <w:p w14:paraId="26367E77" w14:textId="572EF54E" w:rsidR="00280673" w:rsidRDefault="00280673"/>
    <w:p w14:paraId="3F8584A8" w14:textId="1BABD9D8" w:rsidR="00280673" w:rsidRDefault="00280673"/>
    <w:p w14:paraId="2AD0E6B6" w14:textId="459F20EE" w:rsidR="00280673" w:rsidRDefault="00280673"/>
    <w:p w14:paraId="04BF213B" w14:textId="428340CA" w:rsidR="00280673" w:rsidRDefault="00280673"/>
    <w:p w14:paraId="40596E6F" w14:textId="2DD05BEE" w:rsidR="00280673" w:rsidRDefault="00280673"/>
    <w:p w14:paraId="2D638690" w14:textId="57FD01A2" w:rsidR="00280673" w:rsidRDefault="00280673"/>
    <w:p w14:paraId="203486D6" w14:textId="16078F0B" w:rsidR="00280673" w:rsidRDefault="00280673"/>
    <w:p w14:paraId="3B074894" w14:textId="2B1D7B3B" w:rsidR="00280673" w:rsidRDefault="00280673"/>
    <w:tbl>
      <w:tblPr>
        <w:tblpPr w:leftFromText="180" w:rightFromText="180" w:horzAnchor="margin" w:tblpXSpec="center" w:tblpY="-1032"/>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4B1D3793" w14:textId="77777777" w:rsidTr="00280673">
        <w:trPr>
          <w:trHeight w:val="288"/>
        </w:trPr>
        <w:tc>
          <w:tcPr>
            <w:tcW w:w="1176" w:type="dxa"/>
            <w:tcBorders>
              <w:top w:val="nil"/>
              <w:left w:val="nil"/>
              <w:bottom w:val="nil"/>
              <w:right w:val="nil"/>
            </w:tcBorders>
            <w:shd w:val="clear" w:color="auto" w:fill="auto"/>
            <w:noWrap/>
            <w:vAlign w:val="bottom"/>
            <w:hideMark/>
          </w:tcPr>
          <w:p w14:paraId="57D143CC" w14:textId="33B5AA0D"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58240" behindDoc="0" locked="0" layoutInCell="1" allowOverlap="1" wp14:anchorId="1993D7FA" wp14:editId="2F42E0C5">
                  <wp:simplePos x="0" y="0"/>
                  <wp:positionH relativeFrom="column">
                    <wp:posOffset>0</wp:posOffset>
                  </wp:positionH>
                  <wp:positionV relativeFrom="paragraph">
                    <wp:posOffset>0</wp:posOffset>
                  </wp:positionV>
                  <wp:extent cx="7940040" cy="6240780"/>
                  <wp:effectExtent l="0" t="0" r="3810" b="7620"/>
                  <wp:wrapNone/>
                  <wp:docPr id="6" name="Chart 6">
                    <a:extLst xmlns:a="http://schemas.openxmlformats.org/drawingml/2006/main">
                      <a:ext uri="{FF2B5EF4-FFF2-40B4-BE49-F238E27FC236}">
                        <a16:creationId xmlns:a16="http://schemas.microsoft.com/office/drawing/2014/main" id="{441DAE6E-CF22-4245-9DC7-E562D69036AF}"/>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5B80CBBB" w14:textId="77777777">
              <w:trPr>
                <w:trHeight w:val="288"/>
                <w:tblCellSpacing w:w="0" w:type="dxa"/>
              </w:trPr>
              <w:tc>
                <w:tcPr>
                  <w:tcW w:w="960" w:type="dxa"/>
                  <w:tcBorders>
                    <w:top w:val="nil"/>
                    <w:left w:val="nil"/>
                    <w:bottom w:val="nil"/>
                    <w:right w:val="nil"/>
                  </w:tcBorders>
                  <w:shd w:val="clear" w:color="auto" w:fill="auto"/>
                  <w:noWrap/>
                  <w:vAlign w:val="bottom"/>
                  <w:hideMark/>
                </w:tcPr>
                <w:p w14:paraId="1222C8DF" w14:textId="77777777" w:rsidR="00280673" w:rsidRPr="00280673" w:rsidRDefault="00280673" w:rsidP="0079239A">
                  <w:pPr>
                    <w:framePr w:hSpace="180" w:wrap="around" w:hAnchor="margin" w:xAlign="center" w:y="-1032"/>
                    <w:spacing w:after="0" w:line="240" w:lineRule="auto"/>
                    <w:rPr>
                      <w:rFonts w:ascii="Calibri" w:eastAsia="Times New Roman" w:hAnsi="Calibri" w:cs="Calibri"/>
                      <w:color w:val="000000"/>
                    </w:rPr>
                  </w:pPr>
                </w:p>
              </w:tc>
            </w:tr>
          </w:tbl>
          <w:p w14:paraId="7714B207"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6FFEA2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A7B2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7069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8D17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DC3F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7778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6401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8D64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46FE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9DB3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F1FC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83108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A7CE16F" w14:textId="77777777" w:rsidTr="00280673">
        <w:trPr>
          <w:trHeight w:val="288"/>
        </w:trPr>
        <w:tc>
          <w:tcPr>
            <w:tcW w:w="1176" w:type="dxa"/>
            <w:tcBorders>
              <w:top w:val="nil"/>
              <w:left w:val="nil"/>
              <w:bottom w:val="nil"/>
              <w:right w:val="nil"/>
            </w:tcBorders>
            <w:shd w:val="clear" w:color="auto" w:fill="auto"/>
            <w:noWrap/>
            <w:vAlign w:val="bottom"/>
            <w:hideMark/>
          </w:tcPr>
          <w:p w14:paraId="3AE9CF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B91E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E572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71D5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09FE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7062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8DCF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4F7E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A29B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211B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2049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A47A7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FB4B1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73B0B46" w14:textId="77777777" w:rsidTr="00280673">
        <w:trPr>
          <w:trHeight w:val="288"/>
        </w:trPr>
        <w:tc>
          <w:tcPr>
            <w:tcW w:w="1176" w:type="dxa"/>
            <w:tcBorders>
              <w:top w:val="nil"/>
              <w:left w:val="nil"/>
              <w:bottom w:val="nil"/>
              <w:right w:val="nil"/>
            </w:tcBorders>
            <w:shd w:val="clear" w:color="auto" w:fill="auto"/>
            <w:noWrap/>
            <w:vAlign w:val="bottom"/>
            <w:hideMark/>
          </w:tcPr>
          <w:p w14:paraId="23E159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45D9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B07C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B1CC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F0ABE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FEE9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432D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40C0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26D7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292F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0170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46FB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1A264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66988F7" w14:textId="77777777" w:rsidTr="00280673">
        <w:trPr>
          <w:trHeight w:val="288"/>
        </w:trPr>
        <w:tc>
          <w:tcPr>
            <w:tcW w:w="1176" w:type="dxa"/>
            <w:tcBorders>
              <w:top w:val="nil"/>
              <w:left w:val="nil"/>
              <w:bottom w:val="nil"/>
              <w:right w:val="nil"/>
            </w:tcBorders>
            <w:shd w:val="clear" w:color="auto" w:fill="auto"/>
            <w:noWrap/>
            <w:vAlign w:val="bottom"/>
            <w:hideMark/>
          </w:tcPr>
          <w:p w14:paraId="7F2C26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D238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E127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BE51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5245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32E6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CCD1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8D76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15B6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0A31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2328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C384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CCD08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20AE23D" w14:textId="77777777" w:rsidTr="00280673">
        <w:trPr>
          <w:trHeight w:val="288"/>
        </w:trPr>
        <w:tc>
          <w:tcPr>
            <w:tcW w:w="1176" w:type="dxa"/>
            <w:tcBorders>
              <w:top w:val="nil"/>
              <w:left w:val="nil"/>
              <w:bottom w:val="nil"/>
              <w:right w:val="nil"/>
            </w:tcBorders>
            <w:shd w:val="clear" w:color="auto" w:fill="auto"/>
            <w:noWrap/>
            <w:vAlign w:val="bottom"/>
            <w:hideMark/>
          </w:tcPr>
          <w:p w14:paraId="39B83A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99F7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B8AD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DAB8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E221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2998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CB9B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2797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DE5E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D2A81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87A1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520E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F4451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163D303" w14:textId="77777777" w:rsidTr="00280673">
        <w:trPr>
          <w:trHeight w:val="288"/>
        </w:trPr>
        <w:tc>
          <w:tcPr>
            <w:tcW w:w="1176" w:type="dxa"/>
            <w:tcBorders>
              <w:top w:val="nil"/>
              <w:left w:val="nil"/>
              <w:bottom w:val="nil"/>
              <w:right w:val="nil"/>
            </w:tcBorders>
            <w:shd w:val="clear" w:color="auto" w:fill="auto"/>
            <w:noWrap/>
            <w:vAlign w:val="bottom"/>
            <w:hideMark/>
          </w:tcPr>
          <w:p w14:paraId="36960D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859C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C9D4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EE96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0CC1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6A8A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4F4A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D6E0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6E99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0508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1BF1D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18F7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DDDC9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4157085" w14:textId="77777777" w:rsidTr="00280673">
        <w:trPr>
          <w:trHeight w:val="288"/>
        </w:trPr>
        <w:tc>
          <w:tcPr>
            <w:tcW w:w="1176" w:type="dxa"/>
            <w:tcBorders>
              <w:top w:val="nil"/>
              <w:left w:val="nil"/>
              <w:bottom w:val="nil"/>
              <w:right w:val="nil"/>
            </w:tcBorders>
            <w:shd w:val="clear" w:color="auto" w:fill="auto"/>
            <w:noWrap/>
            <w:vAlign w:val="bottom"/>
            <w:hideMark/>
          </w:tcPr>
          <w:p w14:paraId="7DA2EB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2752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86CD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8957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F052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AA29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0191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33F4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2D77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4075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EE25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1E31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6259A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E266D80" w14:textId="77777777" w:rsidTr="00280673">
        <w:trPr>
          <w:trHeight w:val="288"/>
        </w:trPr>
        <w:tc>
          <w:tcPr>
            <w:tcW w:w="1176" w:type="dxa"/>
            <w:tcBorders>
              <w:top w:val="nil"/>
              <w:left w:val="nil"/>
              <w:bottom w:val="nil"/>
              <w:right w:val="nil"/>
            </w:tcBorders>
            <w:shd w:val="clear" w:color="auto" w:fill="auto"/>
            <w:noWrap/>
            <w:vAlign w:val="bottom"/>
            <w:hideMark/>
          </w:tcPr>
          <w:p w14:paraId="258A82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ABD7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6905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122F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A78C1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B511A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7458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758A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5372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6698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02C0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966E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15673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0A8825A" w14:textId="77777777" w:rsidTr="00280673">
        <w:trPr>
          <w:trHeight w:val="288"/>
        </w:trPr>
        <w:tc>
          <w:tcPr>
            <w:tcW w:w="1176" w:type="dxa"/>
            <w:tcBorders>
              <w:top w:val="nil"/>
              <w:left w:val="nil"/>
              <w:bottom w:val="nil"/>
              <w:right w:val="nil"/>
            </w:tcBorders>
            <w:shd w:val="clear" w:color="auto" w:fill="auto"/>
            <w:noWrap/>
            <w:vAlign w:val="bottom"/>
            <w:hideMark/>
          </w:tcPr>
          <w:p w14:paraId="73436E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02CF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D814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A461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4822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55EC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5DE3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E413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D760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A8A7E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3F36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0923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90C37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9A6FC28" w14:textId="77777777" w:rsidTr="00280673">
        <w:trPr>
          <w:trHeight w:val="288"/>
        </w:trPr>
        <w:tc>
          <w:tcPr>
            <w:tcW w:w="1176" w:type="dxa"/>
            <w:tcBorders>
              <w:top w:val="nil"/>
              <w:left w:val="nil"/>
              <w:bottom w:val="nil"/>
              <w:right w:val="nil"/>
            </w:tcBorders>
            <w:shd w:val="clear" w:color="auto" w:fill="auto"/>
            <w:noWrap/>
            <w:vAlign w:val="bottom"/>
            <w:hideMark/>
          </w:tcPr>
          <w:p w14:paraId="0B9D9E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E690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4978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99A71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AC44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D073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F0BD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9D2C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AF6F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5A07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DE59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24C5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C8210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93CB082" w14:textId="77777777" w:rsidTr="00280673">
        <w:trPr>
          <w:trHeight w:val="288"/>
        </w:trPr>
        <w:tc>
          <w:tcPr>
            <w:tcW w:w="1176" w:type="dxa"/>
            <w:tcBorders>
              <w:top w:val="nil"/>
              <w:left w:val="nil"/>
              <w:bottom w:val="nil"/>
              <w:right w:val="nil"/>
            </w:tcBorders>
            <w:shd w:val="clear" w:color="auto" w:fill="auto"/>
            <w:noWrap/>
            <w:vAlign w:val="bottom"/>
            <w:hideMark/>
          </w:tcPr>
          <w:p w14:paraId="362447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D5D4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36D4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897B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47BC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23C3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FF49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C2FD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928E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666F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D26E6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E355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58583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031A32B" w14:textId="77777777" w:rsidTr="00280673">
        <w:trPr>
          <w:trHeight w:val="288"/>
        </w:trPr>
        <w:tc>
          <w:tcPr>
            <w:tcW w:w="1176" w:type="dxa"/>
            <w:tcBorders>
              <w:top w:val="nil"/>
              <w:left w:val="nil"/>
              <w:bottom w:val="nil"/>
              <w:right w:val="nil"/>
            </w:tcBorders>
            <w:shd w:val="clear" w:color="auto" w:fill="auto"/>
            <w:noWrap/>
            <w:vAlign w:val="bottom"/>
            <w:hideMark/>
          </w:tcPr>
          <w:p w14:paraId="084C61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46BD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E882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E9EA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C518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501C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5221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E79C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7CEA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316A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DA8D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629C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0DF30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15075BD" w14:textId="77777777" w:rsidTr="00280673">
        <w:trPr>
          <w:trHeight w:val="288"/>
        </w:trPr>
        <w:tc>
          <w:tcPr>
            <w:tcW w:w="1176" w:type="dxa"/>
            <w:tcBorders>
              <w:top w:val="nil"/>
              <w:left w:val="nil"/>
              <w:bottom w:val="nil"/>
              <w:right w:val="nil"/>
            </w:tcBorders>
            <w:shd w:val="clear" w:color="auto" w:fill="auto"/>
            <w:noWrap/>
            <w:vAlign w:val="bottom"/>
            <w:hideMark/>
          </w:tcPr>
          <w:p w14:paraId="4B4D8E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72C4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FA2D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A749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C5C9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D609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3BFF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C819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7D48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617B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D2DF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CBDC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D2B40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66868A2" w14:textId="77777777" w:rsidTr="00280673">
        <w:trPr>
          <w:trHeight w:val="288"/>
        </w:trPr>
        <w:tc>
          <w:tcPr>
            <w:tcW w:w="1176" w:type="dxa"/>
            <w:tcBorders>
              <w:top w:val="nil"/>
              <w:left w:val="nil"/>
              <w:bottom w:val="nil"/>
              <w:right w:val="nil"/>
            </w:tcBorders>
            <w:shd w:val="clear" w:color="auto" w:fill="auto"/>
            <w:noWrap/>
            <w:vAlign w:val="bottom"/>
            <w:hideMark/>
          </w:tcPr>
          <w:p w14:paraId="76C192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1668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A520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CEC5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795B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A56F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B5A9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DAF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C476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F9D8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0509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3C97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919E0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3AC5B8A" w14:textId="77777777" w:rsidTr="00280673">
        <w:trPr>
          <w:trHeight w:val="288"/>
        </w:trPr>
        <w:tc>
          <w:tcPr>
            <w:tcW w:w="1176" w:type="dxa"/>
            <w:tcBorders>
              <w:top w:val="nil"/>
              <w:left w:val="nil"/>
              <w:bottom w:val="nil"/>
              <w:right w:val="nil"/>
            </w:tcBorders>
            <w:shd w:val="clear" w:color="auto" w:fill="auto"/>
            <w:noWrap/>
            <w:vAlign w:val="bottom"/>
            <w:hideMark/>
          </w:tcPr>
          <w:p w14:paraId="6E82CC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ECD0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0B66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5902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C3FF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23B87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681D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34E5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666C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5D40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7E16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1EED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983EC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B2DE3F8" w14:textId="77777777" w:rsidTr="00280673">
        <w:trPr>
          <w:trHeight w:val="288"/>
        </w:trPr>
        <w:tc>
          <w:tcPr>
            <w:tcW w:w="1176" w:type="dxa"/>
            <w:tcBorders>
              <w:top w:val="nil"/>
              <w:left w:val="nil"/>
              <w:bottom w:val="nil"/>
              <w:right w:val="nil"/>
            </w:tcBorders>
            <w:shd w:val="clear" w:color="auto" w:fill="auto"/>
            <w:noWrap/>
            <w:vAlign w:val="bottom"/>
            <w:hideMark/>
          </w:tcPr>
          <w:p w14:paraId="564086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715C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FE81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BC79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93D2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FCD3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3F34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CB35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DFC5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B6C5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C9F9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810E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1C0D0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6ADA6D1" w14:textId="77777777" w:rsidTr="00280673">
        <w:trPr>
          <w:trHeight w:val="288"/>
        </w:trPr>
        <w:tc>
          <w:tcPr>
            <w:tcW w:w="1176" w:type="dxa"/>
            <w:tcBorders>
              <w:top w:val="nil"/>
              <w:left w:val="nil"/>
              <w:bottom w:val="nil"/>
              <w:right w:val="nil"/>
            </w:tcBorders>
            <w:shd w:val="clear" w:color="auto" w:fill="auto"/>
            <w:noWrap/>
            <w:vAlign w:val="bottom"/>
            <w:hideMark/>
          </w:tcPr>
          <w:p w14:paraId="0A8F94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31C9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FA80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2B9E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6880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2218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224D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FE64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51A9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CD7A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E0A8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B9DF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C5CF4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83AF37A" w14:textId="77777777" w:rsidTr="00280673">
        <w:trPr>
          <w:trHeight w:val="288"/>
        </w:trPr>
        <w:tc>
          <w:tcPr>
            <w:tcW w:w="1176" w:type="dxa"/>
            <w:tcBorders>
              <w:top w:val="nil"/>
              <w:left w:val="nil"/>
              <w:bottom w:val="nil"/>
              <w:right w:val="nil"/>
            </w:tcBorders>
            <w:shd w:val="clear" w:color="auto" w:fill="auto"/>
            <w:noWrap/>
            <w:vAlign w:val="bottom"/>
            <w:hideMark/>
          </w:tcPr>
          <w:p w14:paraId="3EE579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71A6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0934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247B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A736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D893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AC2B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17F2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CA38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E66F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60A0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F575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A73F7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7391C06" w14:textId="77777777" w:rsidTr="00280673">
        <w:trPr>
          <w:trHeight w:val="288"/>
        </w:trPr>
        <w:tc>
          <w:tcPr>
            <w:tcW w:w="1176" w:type="dxa"/>
            <w:tcBorders>
              <w:top w:val="nil"/>
              <w:left w:val="nil"/>
              <w:bottom w:val="nil"/>
              <w:right w:val="nil"/>
            </w:tcBorders>
            <w:shd w:val="clear" w:color="auto" w:fill="auto"/>
            <w:noWrap/>
            <w:vAlign w:val="bottom"/>
            <w:hideMark/>
          </w:tcPr>
          <w:p w14:paraId="489B66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AB20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13D7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3CC9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0301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59F7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8097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362F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CC6B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34B3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C71E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DC52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51EE8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75D8613" w14:textId="77777777" w:rsidTr="00280673">
        <w:trPr>
          <w:trHeight w:val="288"/>
        </w:trPr>
        <w:tc>
          <w:tcPr>
            <w:tcW w:w="1176" w:type="dxa"/>
            <w:tcBorders>
              <w:top w:val="nil"/>
              <w:left w:val="nil"/>
              <w:bottom w:val="nil"/>
              <w:right w:val="nil"/>
            </w:tcBorders>
            <w:shd w:val="clear" w:color="auto" w:fill="auto"/>
            <w:noWrap/>
            <w:vAlign w:val="bottom"/>
            <w:hideMark/>
          </w:tcPr>
          <w:p w14:paraId="34F4B7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27A8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795A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9C30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0EBE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9C23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0AB7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418A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7C79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5D3C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E413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CF5F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97D89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48EC7E2" w14:textId="77777777" w:rsidTr="00280673">
        <w:trPr>
          <w:trHeight w:val="288"/>
        </w:trPr>
        <w:tc>
          <w:tcPr>
            <w:tcW w:w="1176" w:type="dxa"/>
            <w:tcBorders>
              <w:top w:val="nil"/>
              <w:left w:val="nil"/>
              <w:bottom w:val="nil"/>
              <w:right w:val="nil"/>
            </w:tcBorders>
            <w:shd w:val="clear" w:color="auto" w:fill="auto"/>
            <w:noWrap/>
            <w:vAlign w:val="bottom"/>
            <w:hideMark/>
          </w:tcPr>
          <w:p w14:paraId="59ED89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D223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AE27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3948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A7C0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A2AE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062E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3E81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EA7B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99C0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703E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10D4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A87B4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CFAAF08" w14:textId="77777777" w:rsidTr="00280673">
        <w:trPr>
          <w:trHeight w:val="288"/>
        </w:trPr>
        <w:tc>
          <w:tcPr>
            <w:tcW w:w="1176" w:type="dxa"/>
            <w:tcBorders>
              <w:top w:val="nil"/>
              <w:left w:val="nil"/>
              <w:bottom w:val="nil"/>
              <w:right w:val="nil"/>
            </w:tcBorders>
            <w:shd w:val="clear" w:color="auto" w:fill="auto"/>
            <w:noWrap/>
            <w:vAlign w:val="bottom"/>
            <w:hideMark/>
          </w:tcPr>
          <w:p w14:paraId="649708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303F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01CE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6B11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8BC5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165B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B4C5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0AD9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4FC7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9CE1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8F95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5989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F444A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24E9D2A" w14:textId="77777777" w:rsidTr="00280673">
        <w:trPr>
          <w:trHeight w:val="288"/>
        </w:trPr>
        <w:tc>
          <w:tcPr>
            <w:tcW w:w="1176" w:type="dxa"/>
            <w:tcBorders>
              <w:top w:val="nil"/>
              <w:left w:val="nil"/>
              <w:bottom w:val="nil"/>
              <w:right w:val="nil"/>
            </w:tcBorders>
            <w:shd w:val="clear" w:color="auto" w:fill="auto"/>
            <w:noWrap/>
            <w:vAlign w:val="bottom"/>
            <w:hideMark/>
          </w:tcPr>
          <w:p w14:paraId="7819A3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938E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C499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548B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71D8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7D2F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A070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FDE1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C188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A25B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93A8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AA95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3E479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540C013" w14:textId="77777777" w:rsidTr="00280673">
        <w:trPr>
          <w:trHeight w:val="288"/>
        </w:trPr>
        <w:tc>
          <w:tcPr>
            <w:tcW w:w="1176" w:type="dxa"/>
            <w:tcBorders>
              <w:top w:val="nil"/>
              <w:left w:val="nil"/>
              <w:bottom w:val="nil"/>
              <w:right w:val="nil"/>
            </w:tcBorders>
            <w:shd w:val="clear" w:color="auto" w:fill="auto"/>
            <w:noWrap/>
            <w:vAlign w:val="bottom"/>
            <w:hideMark/>
          </w:tcPr>
          <w:p w14:paraId="4CF03E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9ACA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5A89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521A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C6DE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4BE9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45C0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F2FA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8C33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A4B6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0599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E885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5C8AA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31FC26A" w14:textId="77777777" w:rsidTr="00280673">
        <w:trPr>
          <w:trHeight w:val="288"/>
        </w:trPr>
        <w:tc>
          <w:tcPr>
            <w:tcW w:w="1176" w:type="dxa"/>
            <w:tcBorders>
              <w:top w:val="nil"/>
              <w:left w:val="nil"/>
              <w:bottom w:val="nil"/>
              <w:right w:val="nil"/>
            </w:tcBorders>
            <w:shd w:val="clear" w:color="auto" w:fill="auto"/>
            <w:noWrap/>
            <w:vAlign w:val="bottom"/>
            <w:hideMark/>
          </w:tcPr>
          <w:p w14:paraId="00157F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D0FE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B979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692A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7E21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C935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227C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0C31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E119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ABF5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01CA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CF35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53C7A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7E7ADE8" w14:textId="77777777" w:rsidTr="00280673">
        <w:trPr>
          <w:trHeight w:val="288"/>
        </w:trPr>
        <w:tc>
          <w:tcPr>
            <w:tcW w:w="1176" w:type="dxa"/>
            <w:tcBorders>
              <w:top w:val="nil"/>
              <w:left w:val="nil"/>
              <w:bottom w:val="nil"/>
              <w:right w:val="nil"/>
            </w:tcBorders>
            <w:shd w:val="clear" w:color="auto" w:fill="auto"/>
            <w:noWrap/>
            <w:vAlign w:val="bottom"/>
            <w:hideMark/>
          </w:tcPr>
          <w:p w14:paraId="447227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629F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9207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32CB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A9E9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7E1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5308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745A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D14E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BA90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3339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2354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69838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78F4B93" w14:textId="77777777" w:rsidTr="00280673">
        <w:trPr>
          <w:trHeight w:val="288"/>
        </w:trPr>
        <w:tc>
          <w:tcPr>
            <w:tcW w:w="1176" w:type="dxa"/>
            <w:tcBorders>
              <w:top w:val="nil"/>
              <w:left w:val="nil"/>
              <w:bottom w:val="nil"/>
              <w:right w:val="nil"/>
            </w:tcBorders>
            <w:shd w:val="clear" w:color="auto" w:fill="auto"/>
            <w:noWrap/>
            <w:vAlign w:val="bottom"/>
            <w:hideMark/>
          </w:tcPr>
          <w:p w14:paraId="2E076B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AB86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4E9C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D647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77FB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FB1F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EF92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C681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5CAF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CBC4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2D28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85E0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FED71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5258A9C" w14:textId="77777777" w:rsidTr="00280673">
        <w:trPr>
          <w:trHeight w:val="288"/>
        </w:trPr>
        <w:tc>
          <w:tcPr>
            <w:tcW w:w="1176" w:type="dxa"/>
            <w:tcBorders>
              <w:top w:val="nil"/>
              <w:left w:val="nil"/>
              <w:bottom w:val="nil"/>
              <w:right w:val="nil"/>
            </w:tcBorders>
            <w:shd w:val="clear" w:color="auto" w:fill="auto"/>
            <w:noWrap/>
            <w:vAlign w:val="bottom"/>
            <w:hideMark/>
          </w:tcPr>
          <w:p w14:paraId="2F5330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811F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ABA3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AC39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23A8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03D5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2EB0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2D8F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E9D6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E79B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49BB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AD61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908AB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CFB1985" w14:textId="77777777" w:rsidTr="00280673">
        <w:trPr>
          <w:trHeight w:val="288"/>
        </w:trPr>
        <w:tc>
          <w:tcPr>
            <w:tcW w:w="1176" w:type="dxa"/>
            <w:tcBorders>
              <w:top w:val="nil"/>
              <w:left w:val="nil"/>
              <w:bottom w:val="nil"/>
              <w:right w:val="nil"/>
            </w:tcBorders>
            <w:shd w:val="clear" w:color="auto" w:fill="auto"/>
            <w:noWrap/>
            <w:vAlign w:val="bottom"/>
            <w:hideMark/>
          </w:tcPr>
          <w:p w14:paraId="0C4342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4D0C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F04D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CF1A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4368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16CF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184A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F56C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4581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9821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4233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BAF7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A542A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D5D5D9F" w14:textId="77777777" w:rsidTr="00280673">
        <w:trPr>
          <w:trHeight w:val="288"/>
        </w:trPr>
        <w:tc>
          <w:tcPr>
            <w:tcW w:w="1176" w:type="dxa"/>
            <w:tcBorders>
              <w:top w:val="nil"/>
              <w:left w:val="nil"/>
              <w:bottom w:val="nil"/>
              <w:right w:val="nil"/>
            </w:tcBorders>
            <w:shd w:val="clear" w:color="auto" w:fill="auto"/>
            <w:noWrap/>
            <w:vAlign w:val="bottom"/>
            <w:hideMark/>
          </w:tcPr>
          <w:p w14:paraId="280EF2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6BF4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A28A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AE86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5D83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9140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742C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D336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CD42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708D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F894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73F3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42CA7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CBD278B" w14:textId="77777777" w:rsidTr="00280673">
        <w:trPr>
          <w:trHeight w:val="288"/>
        </w:trPr>
        <w:tc>
          <w:tcPr>
            <w:tcW w:w="1176" w:type="dxa"/>
            <w:tcBorders>
              <w:top w:val="nil"/>
              <w:left w:val="nil"/>
              <w:bottom w:val="nil"/>
              <w:right w:val="nil"/>
            </w:tcBorders>
            <w:shd w:val="clear" w:color="auto" w:fill="auto"/>
            <w:noWrap/>
            <w:vAlign w:val="bottom"/>
            <w:hideMark/>
          </w:tcPr>
          <w:p w14:paraId="51DD46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F795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3D4B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7F9B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8309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19A1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455B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C2D2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2363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BAAF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EBFE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7FBF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EEEB1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4B5C749" w14:textId="77777777" w:rsidTr="00280673">
        <w:trPr>
          <w:trHeight w:val="288"/>
        </w:trPr>
        <w:tc>
          <w:tcPr>
            <w:tcW w:w="1176" w:type="dxa"/>
            <w:tcBorders>
              <w:top w:val="nil"/>
              <w:left w:val="nil"/>
              <w:bottom w:val="nil"/>
              <w:right w:val="nil"/>
            </w:tcBorders>
            <w:shd w:val="clear" w:color="auto" w:fill="auto"/>
            <w:noWrap/>
            <w:vAlign w:val="bottom"/>
            <w:hideMark/>
          </w:tcPr>
          <w:p w14:paraId="5FA2F2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2D1F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142F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680D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CEF7A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0090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BDD4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9274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7C3C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3AD8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88A0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9231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90951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0E63789" w14:textId="77777777" w:rsidTr="00280673">
        <w:trPr>
          <w:trHeight w:val="288"/>
        </w:trPr>
        <w:tc>
          <w:tcPr>
            <w:tcW w:w="1176" w:type="dxa"/>
            <w:tcBorders>
              <w:top w:val="nil"/>
              <w:left w:val="nil"/>
              <w:bottom w:val="nil"/>
              <w:right w:val="nil"/>
            </w:tcBorders>
            <w:shd w:val="clear" w:color="auto" w:fill="auto"/>
            <w:noWrap/>
            <w:vAlign w:val="bottom"/>
            <w:hideMark/>
          </w:tcPr>
          <w:p w14:paraId="7CAB33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E887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B339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C062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7F5D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4509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7816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0EA3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B036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367C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628D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C9EB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4D84A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76D8792" w14:textId="77777777" w:rsidTr="00280673">
        <w:trPr>
          <w:trHeight w:val="288"/>
        </w:trPr>
        <w:tc>
          <w:tcPr>
            <w:tcW w:w="1176" w:type="dxa"/>
            <w:tcBorders>
              <w:top w:val="nil"/>
              <w:left w:val="nil"/>
              <w:bottom w:val="nil"/>
              <w:right w:val="nil"/>
            </w:tcBorders>
            <w:shd w:val="clear" w:color="auto" w:fill="auto"/>
            <w:noWrap/>
            <w:vAlign w:val="bottom"/>
            <w:hideMark/>
          </w:tcPr>
          <w:p w14:paraId="0AED3F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B6D0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5699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459C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9CA0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C0E5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2B98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7987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58F0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0276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80D8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FD10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5E36E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250D4A19" w14:textId="464971D1" w:rsidR="00280673" w:rsidRDefault="00280673"/>
    <w:p w14:paraId="0AA04296" w14:textId="42ECAF34" w:rsidR="00280673" w:rsidRDefault="00280673"/>
    <w:p w14:paraId="0D0A27A0" w14:textId="71D8F685" w:rsidR="00280673" w:rsidRDefault="00280673"/>
    <w:p w14:paraId="2B764494" w14:textId="7990D698" w:rsidR="00280673" w:rsidRDefault="00280673"/>
    <w:p w14:paraId="44856D5E" w14:textId="3EE57967" w:rsidR="00280673" w:rsidRDefault="00280673"/>
    <w:p w14:paraId="046F42D5" w14:textId="06921F43" w:rsidR="00280673" w:rsidRDefault="00280673"/>
    <w:p w14:paraId="2EC6022A" w14:textId="244F2B69" w:rsidR="00280673" w:rsidRDefault="00280673"/>
    <w:p w14:paraId="0C4114D8" w14:textId="6E58EC50" w:rsidR="00280673" w:rsidRDefault="00280673"/>
    <w:tbl>
      <w:tblPr>
        <w:tblpPr w:leftFromText="180" w:rightFromText="180" w:horzAnchor="margin" w:tblpXSpec="center" w:tblpY="-1152"/>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6994DB00" w14:textId="77777777" w:rsidTr="00280673">
        <w:trPr>
          <w:trHeight w:val="288"/>
        </w:trPr>
        <w:tc>
          <w:tcPr>
            <w:tcW w:w="1176" w:type="dxa"/>
            <w:tcBorders>
              <w:top w:val="nil"/>
              <w:left w:val="nil"/>
              <w:bottom w:val="nil"/>
              <w:right w:val="nil"/>
            </w:tcBorders>
            <w:shd w:val="clear" w:color="auto" w:fill="auto"/>
            <w:noWrap/>
            <w:vAlign w:val="bottom"/>
            <w:hideMark/>
          </w:tcPr>
          <w:p w14:paraId="00D05240" w14:textId="0E1326B5"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60288" behindDoc="0" locked="0" layoutInCell="1" allowOverlap="1" wp14:anchorId="0B2AB78D" wp14:editId="07A2DD5E">
                  <wp:simplePos x="0" y="0"/>
                  <wp:positionH relativeFrom="column">
                    <wp:posOffset>0</wp:posOffset>
                  </wp:positionH>
                  <wp:positionV relativeFrom="paragraph">
                    <wp:posOffset>-7620</wp:posOffset>
                  </wp:positionV>
                  <wp:extent cx="7940040" cy="6225540"/>
                  <wp:effectExtent l="0" t="0" r="3810" b="3810"/>
                  <wp:wrapNone/>
                  <wp:docPr id="7" name="Chart 7">
                    <a:extLst xmlns:a="http://schemas.openxmlformats.org/drawingml/2006/main">
                      <a:ext uri="{FF2B5EF4-FFF2-40B4-BE49-F238E27FC236}">
                        <a16:creationId xmlns:a16="http://schemas.microsoft.com/office/drawing/2014/main" id="{80F4FAC2-35B3-4C2B-A0A1-4E29179EAEF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5F2157B3" w14:textId="77777777">
              <w:trPr>
                <w:trHeight w:val="288"/>
                <w:tblCellSpacing w:w="0" w:type="dxa"/>
              </w:trPr>
              <w:tc>
                <w:tcPr>
                  <w:tcW w:w="960" w:type="dxa"/>
                  <w:tcBorders>
                    <w:top w:val="nil"/>
                    <w:left w:val="nil"/>
                    <w:bottom w:val="nil"/>
                    <w:right w:val="nil"/>
                  </w:tcBorders>
                  <w:shd w:val="clear" w:color="auto" w:fill="auto"/>
                  <w:noWrap/>
                  <w:vAlign w:val="bottom"/>
                  <w:hideMark/>
                </w:tcPr>
                <w:p w14:paraId="52F0134D" w14:textId="77777777" w:rsidR="00280673" w:rsidRPr="00280673" w:rsidRDefault="00280673" w:rsidP="0079239A">
                  <w:pPr>
                    <w:framePr w:hSpace="180" w:wrap="around" w:hAnchor="margin" w:xAlign="center" w:y="-1152"/>
                    <w:spacing w:after="0" w:line="240" w:lineRule="auto"/>
                    <w:rPr>
                      <w:rFonts w:ascii="Calibri" w:eastAsia="Times New Roman" w:hAnsi="Calibri" w:cs="Calibri"/>
                      <w:color w:val="000000"/>
                    </w:rPr>
                  </w:pPr>
                </w:p>
              </w:tc>
            </w:tr>
          </w:tbl>
          <w:p w14:paraId="1D2E5475"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156ACB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115D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48B5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54A2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FB6DD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B086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330F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EE15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AB6B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58E7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C62D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D57FC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A3599E5" w14:textId="77777777" w:rsidTr="00280673">
        <w:trPr>
          <w:trHeight w:val="288"/>
        </w:trPr>
        <w:tc>
          <w:tcPr>
            <w:tcW w:w="1176" w:type="dxa"/>
            <w:tcBorders>
              <w:top w:val="nil"/>
              <w:left w:val="nil"/>
              <w:bottom w:val="nil"/>
              <w:right w:val="nil"/>
            </w:tcBorders>
            <w:shd w:val="clear" w:color="auto" w:fill="auto"/>
            <w:noWrap/>
            <w:vAlign w:val="bottom"/>
            <w:hideMark/>
          </w:tcPr>
          <w:p w14:paraId="0EA26E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7D07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9CDC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B6AF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7C06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FF4A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E661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2A39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FD70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C152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77C1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4386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850C4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7A50676" w14:textId="77777777" w:rsidTr="00280673">
        <w:trPr>
          <w:trHeight w:val="288"/>
        </w:trPr>
        <w:tc>
          <w:tcPr>
            <w:tcW w:w="1176" w:type="dxa"/>
            <w:tcBorders>
              <w:top w:val="nil"/>
              <w:left w:val="nil"/>
              <w:bottom w:val="nil"/>
              <w:right w:val="nil"/>
            </w:tcBorders>
            <w:shd w:val="clear" w:color="auto" w:fill="auto"/>
            <w:noWrap/>
            <w:vAlign w:val="bottom"/>
            <w:hideMark/>
          </w:tcPr>
          <w:p w14:paraId="255DE1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AA4A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F45D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C537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DBE1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5E38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A30E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715D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1B3AA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A506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EDEE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E9BDA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1EB8D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4D5D6D8" w14:textId="77777777" w:rsidTr="00280673">
        <w:trPr>
          <w:trHeight w:val="288"/>
        </w:trPr>
        <w:tc>
          <w:tcPr>
            <w:tcW w:w="1176" w:type="dxa"/>
            <w:tcBorders>
              <w:top w:val="nil"/>
              <w:left w:val="nil"/>
              <w:bottom w:val="nil"/>
              <w:right w:val="nil"/>
            </w:tcBorders>
            <w:shd w:val="clear" w:color="auto" w:fill="auto"/>
            <w:noWrap/>
            <w:vAlign w:val="bottom"/>
            <w:hideMark/>
          </w:tcPr>
          <w:p w14:paraId="20F5C3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4F19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9EB5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AE87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7DCA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BEAB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D749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33D3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424C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8046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1683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D276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20793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8CF823A" w14:textId="77777777" w:rsidTr="00280673">
        <w:trPr>
          <w:trHeight w:val="288"/>
        </w:trPr>
        <w:tc>
          <w:tcPr>
            <w:tcW w:w="1176" w:type="dxa"/>
            <w:tcBorders>
              <w:top w:val="nil"/>
              <w:left w:val="nil"/>
              <w:bottom w:val="nil"/>
              <w:right w:val="nil"/>
            </w:tcBorders>
            <w:shd w:val="clear" w:color="auto" w:fill="auto"/>
            <w:noWrap/>
            <w:vAlign w:val="bottom"/>
            <w:hideMark/>
          </w:tcPr>
          <w:p w14:paraId="3A9FDC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ED72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3E74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15DE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09D3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02A9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3791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DF72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49CC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2FF27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751A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8153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7C90E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D5E8362" w14:textId="77777777" w:rsidTr="00280673">
        <w:trPr>
          <w:trHeight w:val="288"/>
        </w:trPr>
        <w:tc>
          <w:tcPr>
            <w:tcW w:w="1176" w:type="dxa"/>
            <w:tcBorders>
              <w:top w:val="nil"/>
              <w:left w:val="nil"/>
              <w:bottom w:val="nil"/>
              <w:right w:val="nil"/>
            </w:tcBorders>
            <w:shd w:val="clear" w:color="auto" w:fill="auto"/>
            <w:noWrap/>
            <w:vAlign w:val="bottom"/>
            <w:hideMark/>
          </w:tcPr>
          <w:p w14:paraId="1BC3A7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F0C3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8EF6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88BB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93D2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FC9B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D355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0E4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D775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C868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5BB7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A909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D79AE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0AA7418" w14:textId="77777777" w:rsidTr="00280673">
        <w:trPr>
          <w:trHeight w:val="288"/>
        </w:trPr>
        <w:tc>
          <w:tcPr>
            <w:tcW w:w="1176" w:type="dxa"/>
            <w:tcBorders>
              <w:top w:val="nil"/>
              <w:left w:val="nil"/>
              <w:bottom w:val="nil"/>
              <w:right w:val="nil"/>
            </w:tcBorders>
            <w:shd w:val="clear" w:color="auto" w:fill="auto"/>
            <w:noWrap/>
            <w:vAlign w:val="bottom"/>
            <w:hideMark/>
          </w:tcPr>
          <w:p w14:paraId="6DE328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96D2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201E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4FBB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D6F1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FED3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14C2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7E2F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E4F5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BCE1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123F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2A8A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01446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54B90C5" w14:textId="77777777" w:rsidTr="00280673">
        <w:trPr>
          <w:trHeight w:val="288"/>
        </w:trPr>
        <w:tc>
          <w:tcPr>
            <w:tcW w:w="1176" w:type="dxa"/>
            <w:tcBorders>
              <w:top w:val="nil"/>
              <w:left w:val="nil"/>
              <w:bottom w:val="nil"/>
              <w:right w:val="nil"/>
            </w:tcBorders>
            <w:shd w:val="clear" w:color="auto" w:fill="auto"/>
            <w:noWrap/>
            <w:vAlign w:val="bottom"/>
            <w:hideMark/>
          </w:tcPr>
          <w:p w14:paraId="663491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C306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D009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0437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BF3C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11B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3B62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2C13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E9DD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EB09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C9D6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26CC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6FFD0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C07F308" w14:textId="77777777" w:rsidTr="00280673">
        <w:trPr>
          <w:trHeight w:val="288"/>
        </w:trPr>
        <w:tc>
          <w:tcPr>
            <w:tcW w:w="1176" w:type="dxa"/>
            <w:tcBorders>
              <w:top w:val="nil"/>
              <w:left w:val="nil"/>
              <w:bottom w:val="nil"/>
              <w:right w:val="nil"/>
            </w:tcBorders>
            <w:shd w:val="clear" w:color="auto" w:fill="auto"/>
            <w:noWrap/>
            <w:vAlign w:val="bottom"/>
            <w:hideMark/>
          </w:tcPr>
          <w:p w14:paraId="6EFDC6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B452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D553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FCB0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1932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AD5F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23F3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37B8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A6BB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794F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EFBC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2560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F70F0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5DC1F1C" w14:textId="77777777" w:rsidTr="00280673">
        <w:trPr>
          <w:trHeight w:val="288"/>
        </w:trPr>
        <w:tc>
          <w:tcPr>
            <w:tcW w:w="1176" w:type="dxa"/>
            <w:tcBorders>
              <w:top w:val="nil"/>
              <w:left w:val="nil"/>
              <w:bottom w:val="nil"/>
              <w:right w:val="nil"/>
            </w:tcBorders>
            <w:shd w:val="clear" w:color="auto" w:fill="auto"/>
            <w:noWrap/>
            <w:vAlign w:val="bottom"/>
            <w:hideMark/>
          </w:tcPr>
          <w:p w14:paraId="480346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C50E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BD95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1E83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ADAA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740F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900B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157B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2518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1B0B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9A7D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C1F9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90536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514AB2C" w14:textId="77777777" w:rsidTr="00280673">
        <w:trPr>
          <w:trHeight w:val="288"/>
        </w:trPr>
        <w:tc>
          <w:tcPr>
            <w:tcW w:w="1176" w:type="dxa"/>
            <w:tcBorders>
              <w:top w:val="nil"/>
              <w:left w:val="nil"/>
              <w:bottom w:val="nil"/>
              <w:right w:val="nil"/>
            </w:tcBorders>
            <w:shd w:val="clear" w:color="auto" w:fill="auto"/>
            <w:noWrap/>
            <w:vAlign w:val="bottom"/>
            <w:hideMark/>
          </w:tcPr>
          <w:p w14:paraId="48A251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2573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BDB1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4765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1F4E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10B7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5935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56E6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E72D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D8DC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8260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BC8E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B67E3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138D55F" w14:textId="77777777" w:rsidTr="00280673">
        <w:trPr>
          <w:trHeight w:val="288"/>
        </w:trPr>
        <w:tc>
          <w:tcPr>
            <w:tcW w:w="1176" w:type="dxa"/>
            <w:tcBorders>
              <w:top w:val="nil"/>
              <w:left w:val="nil"/>
              <w:bottom w:val="nil"/>
              <w:right w:val="nil"/>
            </w:tcBorders>
            <w:shd w:val="clear" w:color="auto" w:fill="auto"/>
            <w:noWrap/>
            <w:vAlign w:val="bottom"/>
            <w:hideMark/>
          </w:tcPr>
          <w:p w14:paraId="24F76A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B922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73D7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242F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46DB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65E9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B58D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0986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67CC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25E4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A975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1149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50863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F04444C" w14:textId="77777777" w:rsidTr="00280673">
        <w:trPr>
          <w:trHeight w:val="288"/>
        </w:trPr>
        <w:tc>
          <w:tcPr>
            <w:tcW w:w="1176" w:type="dxa"/>
            <w:tcBorders>
              <w:top w:val="nil"/>
              <w:left w:val="nil"/>
              <w:bottom w:val="nil"/>
              <w:right w:val="nil"/>
            </w:tcBorders>
            <w:shd w:val="clear" w:color="auto" w:fill="auto"/>
            <w:noWrap/>
            <w:vAlign w:val="bottom"/>
            <w:hideMark/>
          </w:tcPr>
          <w:p w14:paraId="5C5E99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458D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56CE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A9E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FDA1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3509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CA4B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ADDA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A679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926C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5710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2C7B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9B7C8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4E09689" w14:textId="77777777" w:rsidTr="00280673">
        <w:trPr>
          <w:trHeight w:val="288"/>
        </w:trPr>
        <w:tc>
          <w:tcPr>
            <w:tcW w:w="1176" w:type="dxa"/>
            <w:tcBorders>
              <w:top w:val="nil"/>
              <w:left w:val="nil"/>
              <w:bottom w:val="nil"/>
              <w:right w:val="nil"/>
            </w:tcBorders>
            <w:shd w:val="clear" w:color="auto" w:fill="auto"/>
            <w:noWrap/>
            <w:vAlign w:val="bottom"/>
            <w:hideMark/>
          </w:tcPr>
          <w:p w14:paraId="01BCCC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FE7A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A31B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526D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4E69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4414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C12E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24CA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763E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5695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C09A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EC53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4602A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5A8450A" w14:textId="77777777" w:rsidTr="00280673">
        <w:trPr>
          <w:trHeight w:val="288"/>
        </w:trPr>
        <w:tc>
          <w:tcPr>
            <w:tcW w:w="1176" w:type="dxa"/>
            <w:tcBorders>
              <w:top w:val="nil"/>
              <w:left w:val="nil"/>
              <w:bottom w:val="nil"/>
              <w:right w:val="nil"/>
            </w:tcBorders>
            <w:shd w:val="clear" w:color="auto" w:fill="auto"/>
            <w:noWrap/>
            <w:vAlign w:val="bottom"/>
            <w:hideMark/>
          </w:tcPr>
          <w:p w14:paraId="76FBE5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A9EA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9F35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D02A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F29D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9F6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CC2B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A00C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1BA0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FAA2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4598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F184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84D9E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544D204" w14:textId="77777777" w:rsidTr="00280673">
        <w:trPr>
          <w:trHeight w:val="288"/>
        </w:trPr>
        <w:tc>
          <w:tcPr>
            <w:tcW w:w="1176" w:type="dxa"/>
            <w:tcBorders>
              <w:top w:val="nil"/>
              <w:left w:val="nil"/>
              <w:bottom w:val="nil"/>
              <w:right w:val="nil"/>
            </w:tcBorders>
            <w:shd w:val="clear" w:color="auto" w:fill="auto"/>
            <w:noWrap/>
            <w:vAlign w:val="bottom"/>
            <w:hideMark/>
          </w:tcPr>
          <w:p w14:paraId="336D6D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0D70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A006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2660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4091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10D7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1FC4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B845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45BA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0E1C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72B9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4B56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4369F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92B29D8" w14:textId="77777777" w:rsidTr="00280673">
        <w:trPr>
          <w:trHeight w:val="288"/>
        </w:trPr>
        <w:tc>
          <w:tcPr>
            <w:tcW w:w="1176" w:type="dxa"/>
            <w:tcBorders>
              <w:top w:val="nil"/>
              <w:left w:val="nil"/>
              <w:bottom w:val="nil"/>
              <w:right w:val="nil"/>
            </w:tcBorders>
            <w:shd w:val="clear" w:color="auto" w:fill="auto"/>
            <w:noWrap/>
            <w:vAlign w:val="bottom"/>
            <w:hideMark/>
          </w:tcPr>
          <w:p w14:paraId="4C39C0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9B52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B3551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D2FE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8532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FA84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B6BB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38E5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BFB1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18A2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2812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6878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F07E5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6B031FB" w14:textId="77777777" w:rsidTr="00280673">
        <w:trPr>
          <w:trHeight w:val="288"/>
        </w:trPr>
        <w:tc>
          <w:tcPr>
            <w:tcW w:w="1176" w:type="dxa"/>
            <w:tcBorders>
              <w:top w:val="nil"/>
              <w:left w:val="nil"/>
              <w:bottom w:val="nil"/>
              <w:right w:val="nil"/>
            </w:tcBorders>
            <w:shd w:val="clear" w:color="auto" w:fill="auto"/>
            <w:noWrap/>
            <w:vAlign w:val="bottom"/>
            <w:hideMark/>
          </w:tcPr>
          <w:p w14:paraId="47F108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D955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B511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6DCD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6C75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F2ED5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87E9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1DD3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4483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DE7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18F3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430B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2DA8C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0FB6BD1" w14:textId="77777777" w:rsidTr="00280673">
        <w:trPr>
          <w:trHeight w:val="288"/>
        </w:trPr>
        <w:tc>
          <w:tcPr>
            <w:tcW w:w="1176" w:type="dxa"/>
            <w:tcBorders>
              <w:top w:val="nil"/>
              <w:left w:val="nil"/>
              <w:bottom w:val="nil"/>
              <w:right w:val="nil"/>
            </w:tcBorders>
            <w:shd w:val="clear" w:color="auto" w:fill="auto"/>
            <w:noWrap/>
            <w:vAlign w:val="bottom"/>
            <w:hideMark/>
          </w:tcPr>
          <w:p w14:paraId="107A5A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E1A7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EA1D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7F0F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8AA6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2B70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8903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5337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94F5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8CED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719A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522A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29E32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27D714E" w14:textId="77777777" w:rsidTr="00280673">
        <w:trPr>
          <w:trHeight w:val="288"/>
        </w:trPr>
        <w:tc>
          <w:tcPr>
            <w:tcW w:w="1176" w:type="dxa"/>
            <w:tcBorders>
              <w:top w:val="nil"/>
              <w:left w:val="nil"/>
              <w:bottom w:val="nil"/>
              <w:right w:val="nil"/>
            </w:tcBorders>
            <w:shd w:val="clear" w:color="auto" w:fill="auto"/>
            <w:noWrap/>
            <w:vAlign w:val="bottom"/>
            <w:hideMark/>
          </w:tcPr>
          <w:p w14:paraId="0863F85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3AB2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E5F3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C17F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49DF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1BFB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86FF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0B17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96C4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F289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9CBE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32325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C1DE6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BB5AC2D" w14:textId="77777777" w:rsidTr="00280673">
        <w:trPr>
          <w:trHeight w:val="288"/>
        </w:trPr>
        <w:tc>
          <w:tcPr>
            <w:tcW w:w="1176" w:type="dxa"/>
            <w:tcBorders>
              <w:top w:val="nil"/>
              <w:left w:val="nil"/>
              <w:bottom w:val="nil"/>
              <w:right w:val="nil"/>
            </w:tcBorders>
            <w:shd w:val="clear" w:color="auto" w:fill="auto"/>
            <w:noWrap/>
            <w:vAlign w:val="bottom"/>
            <w:hideMark/>
          </w:tcPr>
          <w:p w14:paraId="117082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39CF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D9D3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81FE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0597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8D42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2BB0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0EFA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B7AC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6A9F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78F7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BE20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F01DD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D29E2B6" w14:textId="77777777" w:rsidTr="00280673">
        <w:trPr>
          <w:trHeight w:val="288"/>
        </w:trPr>
        <w:tc>
          <w:tcPr>
            <w:tcW w:w="1176" w:type="dxa"/>
            <w:tcBorders>
              <w:top w:val="nil"/>
              <w:left w:val="nil"/>
              <w:bottom w:val="nil"/>
              <w:right w:val="nil"/>
            </w:tcBorders>
            <w:shd w:val="clear" w:color="auto" w:fill="auto"/>
            <w:noWrap/>
            <w:vAlign w:val="bottom"/>
            <w:hideMark/>
          </w:tcPr>
          <w:p w14:paraId="139B29D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A101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CC60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B0AB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A23B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D26D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BBED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95DC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2A62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0585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DF9D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A53A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CF98E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A59F2A7" w14:textId="77777777" w:rsidTr="00280673">
        <w:trPr>
          <w:trHeight w:val="288"/>
        </w:trPr>
        <w:tc>
          <w:tcPr>
            <w:tcW w:w="1176" w:type="dxa"/>
            <w:tcBorders>
              <w:top w:val="nil"/>
              <w:left w:val="nil"/>
              <w:bottom w:val="nil"/>
              <w:right w:val="nil"/>
            </w:tcBorders>
            <w:shd w:val="clear" w:color="auto" w:fill="auto"/>
            <w:noWrap/>
            <w:vAlign w:val="bottom"/>
            <w:hideMark/>
          </w:tcPr>
          <w:p w14:paraId="1AEB1F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190BD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E844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8FEC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83DB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9B3B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3BCA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C263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8179A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25F3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FE80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866C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FD1D4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97AB324" w14:textId="77777777" w:rsidTr="00280673">
        <w:trPr>
          <w:trHeight w:val="288"/>
        </w:trPr>
        <w:tc>
          <w:tcPr>
            <w:tcW w:w="1176" w:type="dxa"/>
            <w:tcBorders>
              <w:top w:val="nil"/>
              <w:left w:val="nil"/>
              <w:bottom w:val="nil"/>
              <w:right w:val="nil"/>
            </w:tcBorders>
            <w:shd w:val="clear" w:color="auto" w:fill="auto"/>
            <w:noWrap/>
            <w:vAlign w:val="bottom"/>
            <w:hideMark/>
          </w:tcPr>
          <w:p w14:paraId="17BEEF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E94F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A1CB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07F3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0D54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66B4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2B7A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0637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8AC3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3FAA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62C4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0C32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F1E8B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0A9C63E" w14:textId="77777777" w:rsidTr="00280673">
        <w:trPr>
          <w:trHeight w:val="288"/>
        </w:trPr>
        <w:tc>
          <w:tcPr>
            <w:tcW w:w="1176" w:type="dxa"/>
            <w:tcBorders>
              <w:top w:val="nil"/>
              <w:left w:val="nil"/>
              <w:bottom w:val="nil"/>
              <w:right w:val="nil"/>
            </w:tcBorders>
            <w:shd w:val="clear" w:color="auto" w:fill="auto"/>
            <w:noWrap/>
            <w:vAlign w:val="bottom"/>
            <w:hideMark/>
          </w:tcPr>
          <w:p w14:paraId="333738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7131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91D5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B88B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DB24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1A2C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34AF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4824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B9DA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FD08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4D10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6F3D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84833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A66259F" w14:textId="77777777" w:rsidTr="00280673">
        <w:trPr>
          <w:trHeight w:val="288"/>
        </w:trPr>
        <w:tc>
          <w:tcPr>
            <w:tcW w:w="1176" w:type="dxa"/>
            <w:tcBorders>
              <w:top w:val="nil"/>
              <w:left w:val="nil"/>
              <w:bottom w:val="nil"/>
              <w:right w:val="nil"/>
            </w:tcBorders>
            <w:shd w:val="clear" w:color="auto" w:fill="auto"/>
            <w:noWrap/>
            <w:vAlign w:val="bottom"/>
            <w:hideMark/>
          </w:tcPr>
          <w:p w14:paraId="1C2711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D2ED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E040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102C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92C7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08DB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D2A1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839A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B91D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AF22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BA54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4E1B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7FFEF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7F337FF" w14:textId="77777777" w:rsidTr="00280673">
        <w:trPr>
          <w:trHeight w:val="288"/>
        </w:trPr>
        <w:tc>
          <w:tcPr>
            <w:tcW w:w="1176" w:type="dxa"/>
            <w:tcBorders>
              <w:top w:val="nil"/>
              <w:left w:val="nil"/>
              <w:bottom w:val="nil"/>
              <w:right w:val="nil"/>
            </w:tcBorders>
            <w:shd w:val="clear" w:color="auto" w:fill="auto"/>
            <w:noWrap/>
            <w:vAlign w:val="bottom"/>
            <w:hideMark/>
          </w:tcPr>
          <w:p w14:paraId="6BBE2C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B6D3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EDF7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4A59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5E7E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32CF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4C13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823D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7C12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E690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4FF9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104D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8AE15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1946C4E" w14:textId="77777777" w:rsidTr="00280673">
        <w:trPr>
          <w:trHeight w:val="288"/>
        </w:trPr>
        <w:tc>
          <w:tcPr>
            <w:tcW w:w="1176" w:type="dxa"/>
            <w:tcBorders>
              <w:top w:val="nil"/>
              <w:left w:val="nil"/>
              <w:bottom w:val="nil"/>
              <w:right w:val="nil"/>
            </w:tcBorders>
            <w:shd w:val="clear" w:color="auto" w:fill="auto"/>
            <w:noWrap/>
            <w:vAlign w:val="bottom"/>
            <w:hideMark/>
          </w:tcPr>
          <w:p w14:paraId="38B7FB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3314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B1B3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3369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5EE2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35FC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13E5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6989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DDF9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AAE1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8D8B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37F5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DFC4F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0291E7D" w14:textId="77777777" w:rsidTr="00280673">
        <w:trPr>
          <w:trHeight w:val="288"/>
        </w:trPr>
        <w:tc>
          <w:tcPr>
            <w:tcW w:w="1176" w:type="dxa"/>
            <w:tcBorders>
              <w:top w:val="nil"/>
              <w:left w:val="nil"/>
              <w:bottom w:val="nil"/>
              <w:right w:val="nil"/>
            </w:tcBorders>
            <w:shd w:val="clear" w:color="auto" w:fill="auto"/>
            <w:noWrap/>
            <w:vAlign w:val="bottom"/>
            <w:hideMark/>
          </w:tcPr>
          <w:p w14:paraId="160BE31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140C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2109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6330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51F0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925A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A8AE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320E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5FDC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A220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B87E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E01B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84F14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599AB5E" w14:textId="77777777" w:rsidTr="00280673">
        <w:trPr>
          <w:trHeight w:val="288"/>
        </w:trPr>
        <w:tc>
          <w:tcPr>
            <w:tcW w:w="1176" w:type="dxa"/>
            <w:tcBorders>
              <w:top w:val="nil"/>
              <w:left w:val="nil"/>
              <w:bottom w:val="nil"/>
              <w:right w:val="nil"/>
            </w:tcBorders>
            <w:shd w:val="clear" w:color="auto" w:fill="auto"/>
            <w:noWrap/>
            <w:vAlign w:val="bottom"/>
            <w:hideMark/>
          </w:tcPr>
          <w:p w14:paraId="548378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A91D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CE06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DC1B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2107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1D9A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D00B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4F04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755F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E78F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88BB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867B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2E41A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94B5A65" w14:textId="77777777" w:rsidTr="00280673">
        <w:trPr>
          <w:trHeight w:val="288"/>
        </w:trPr>
        <w:tc>
          <w:tcPr>
            <w:tcW w:w="1176" w:type="dxa"/>
            <w:tcBorders>
              <w:top w:val="nil"/>
              <w:left w:val="nil"/>
              <w:bottom w:val="nil"/>
              <w:right w:val="nil"/>
            </w:tcBorders>
            <w:shd w:val="clear" w:color="auto" w:fill="auto"/>
            <w:noWrap/>
            <w:vAlign w:val="bottom"/>
            <w:hideMark/>
          </w:tcPr>
          <w:p w14:paraId="734FE6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5437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CFFB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E8D1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BAFA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3B98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5FB3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6C6C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8770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E84A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91AC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905C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4940E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2F19452" w14:textId="77777777" w:rsidTr="00280673">
        <w:trPr>
          <w:trHeight w:val="288"/>
        </w:trPr>
        <w:tc>
          <w:tcPr>
            <w:tcW w:w="1176" w:type="dxa"/>
            <w:tcBorders>
              <w:top w:val="nil"/>
              <w:left w:val="nil"/>
              <w:bottom w:val="nil"/>
              <w:right w:val="nil"/>
            </w:tcBorders>
            <w:shd w:val="clear" w:color="auto" w:fill="auto"/>
            <w:noWrap/>
            <w:vAlign w:val="bottom"/>
            <w:hideMark/>
          </w:tcPr>
          <w:p w14:paraId="6AD7C0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F8AA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AF05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7F04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D330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E5F3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C3099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53F7D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56E07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EE49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8FB1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AA8C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D8E5B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44CFBB7" w14:textId="77777777" w:rsidTr="00280673">
        <w:trPr>
          <w:trHeight w:val="288"/>
        </w:trPr>
        <w:tc>
          <w:tcPr>
            <w:tcW w:w="1176" w:type="dxa"/>
            <w:tcBorders>
              <w:top w:val="nil"/>
              <w:left w:val="nil"/>
              <w:bottom w:val="nil"/>
              <w:right w:val="nil"/>
            </w:tcBorders>
            <w:shd w:val="clear" w:color="auto" w:fill="auto"/>
            <w:noWrap/>
            <w:vAlign w:val="bottom"/>
            <w:hideMark/>
          </w:tcPr>
          <w:p w14:paraId="58D3DB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9552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0DB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6278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BD0E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F507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261D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51C2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97B7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62A8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EA13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F258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3F813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7F49CB7" w14:textId="77777777" w:rsidTr="00280673">
        <w:trPr>
          <w:trHeight w:val="288"/>
        </w:trPr>
        <w:tc>
          <w:tcPr>
            <w:tcW w:w="1176" w:type="dxa"/>
            <w:tcBorders>
              <w:top w:val="nil"/>
              <w:left w:val="nil"/>
              <w:bottom w:val="nil"/>
              <w:right w:val="nil"/>
            </w:tcBorders>
            <w:shd w:val="clear" w:color="auto" w:fill="auto"/>
            <w:noWrap/>
            <w:vAlign w:val="bottom"/>
            <w:hideMark/>
          </w:tcPr>
          <w:p w14:paraId="686162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FEBD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BB50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0262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8496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7D4B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D045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19E6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9B9D8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F7E4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00C2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695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4C2A0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646EBE22" w14:textId="79A597B6" w:rsidR="00280673" w:rsidRDefault="00280673"/>
    <w:p w14:paraId="60BA1F25" w14:textId="6B8D205E" w:rsidR="00280673" w:rsidRDefault="00280673"/>
    <w:p w14:paraId="201FAA97" w14:textId="32E55889" w:rsidR="00280673" w:rsidRDefault="00280673"/>
    <w:p w14:paraId="23824515" w14:textId="01A10418" w:rsidR="00280673" w:rsidRDefault="00280673"/>
    <w:p w14:paraId="1926B7F4" w14:textId="723AD288" w:rsidR="00280673" w:rsidRDefault="00280673"/>
    <w:p w14:paraId="55AB98F3" w14:textId="098046F1" w:rsidR="00280673" w:rsidRDefault="00280673"/>
    <w:p w14:paraId="192E5296" w14:textId="18E4B3A9" w:rsidR="00280673" w:rsidRDefault="00280673"/>
    <w:p w14:paraId="18CD27B9" w14:textId="59A9CEE9" w:rsidR="00280673" w:rsidRDefault="00280673"/>
    <w:tbl>
      <w:tblPr>
        <w:tblpPr w:leftFromText="180" w:rightFromText="180" w:horzAnchor="margin" w:tblpXSpec="center" w:tblpY="-1188"/>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7002416D" w14:textId="77777777" w:rsidTr="00280673">
        <w:trPr>
          <w:trHeight w:val="288"/>
        </w:trPr>
        <w:tc>
          <w:tcPr>
            <w:tcW w:w="1176" w:type="dxa"/>
            <w:tcBorders>
              <w:top w:val="nil"/>
              <w:left w:val="nil"/>
              <w:bottom w:val="nil"/>
              <w:right w:val="nil"/>
            </w:tcBorders>
            <w:shd w:val="clear" w:color="auto" w:fill="auto"/>
            <w:noWrap/>
            <w:vAlign w:val="bottom"/>
            <w:hideMark/>
          </w:tcPr>
          <w:p w14:paraId="2ECD6AD6" w14:textId="046C868B"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62336" behindDoc="0" locked="0" layoutInCell="1" allowOverlap="1" wp14:anchorId="3A88D7D9" wp14:editId="0D760A0F">
                  <wp:simplePos x="0" y="0"/>
                  <wp:positionH relativeFrom="column">
                    <wp:posOffset>0</wp:posOffset>
                  </wp:positionH>
                  <wp:positionV relativeFrom="paragraph">
                    <wp:posOffset>-7620</wp:posOffset>
                  </wp:positionV>
                  <wp:extent cx="7940040" cy="6233160"/>
                  <wp:effectExtent l="0" t="0" r="3810" b="15240"/>
                  <wp:wrapNone/>
                  <wp:docPr id="8" name="Chart 8">
                    <a:extLst xmlns:a="http://schemas.openxmlformats.org/drawingml/2006/main">
                      <a:ext uri="{FF2B5EF4-FFF2-40B4-BE49-F238E27FC236}">
                        <a16:creationId xmlns:a16="http://schemas.microsoft.com/office/drawing/2014/main" id="{96989300-09D1-4C22-B7BB-6E089A5B331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20DB2A92" w14:textId="77777777">
              <w:trPr>
                <w:trHeight w:val="288"/>
                <w:tblCellSpacing w:w="0" w:type="dxa"/>
              </w:trPr>
              <w:tc>
                <w:tcPr>
                  <w:tcW w:w="960" w:type="dxa"/>
                  <w:tcBorders>
                    <w:top w:val="nil"/>
                    <w:left w:val="nil"/>
                    <w:bottom w:val="nil"/>
                    <w:right w:val="nil"/>
                  </w:tcBorders>
                  <w:shd w:val="clear" w:color="auto" w:fill="auto"/>
                  <w:noWrap/>
                  <w:vAlign w:val="bottom"/>
                  <w:hideMark/>
                </w:tcPr>
                <w:p w14:paraId="198866C4" w14:textId="77777777" w:rsidR="00280673" w:rsidRPr="00280673" w:rsidRDefault="00280673" w:rsidP="0079239A">
                  <w:pPr>
                    <w:framePr w:hSpace="180" w:wrap="around" w:hAnchor="margin" w:xAlign="center" w:y="-1188"/>
                    <w:spacing w:after="0" w:line="240" w:lineRule="auto"/>
                    <w:rPr>
                      <w:rFonts w:ascii="Calibri" w:eastAsia="Times New Roman" w:hAnsi="Calibri" w:cs="Calibri"/>
                      <w:color w:val="000000"/>
                    </w:rPr>
                  </w:pPr>
                </w:p>
              </w:tc>
            </w:tr>
          </w:tbl>
          <w:p w14:paraId="12FCF3D1"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0D22451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C029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0F0B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377DD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E28D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5B21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23AF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01B3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51BB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8C6B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0782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2C068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E606B18" w14:textId="77777777" w:rsidTr="00280673">
        <w:trPr>
          <w:trHeight w:val="288"/>
        </w:trPr>
        <w:tc>
          <w:tcPr>
            <w:tcW w:w="1176" w:type="dxa"/>
            <w:tcBorders>
              <w:top w:val="nil"/>
              <w:left w:val="nil"/>
              <w:bottom w:val="nil"/>
              <w:right w:val="nil"/>
            </w:tcBorders>
            <w:shd w:val="clear" w:color="auto" w:fill="auto"/>
            <w:noWrap/>
            <w:vAlign w:val="bottom"/>
            <w:hideMark/>
          </w:tcPr>
          <w:p w14:paraId="2194E6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5089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C8EB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EEE9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7DFD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6D17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34E1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ACF0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9605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5CFD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75EB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E0D1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E43F6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73730D9" w14:textId="77777777" w:rsidTr="00280673">
        <w:trPr>
          <w:trHeight w:val="288"/>
        </w:trPr>
        <w:tc>
          <w:tcPr>
            <w:tcW w:w="1176" w:type="dxa"/>
            <w:tcBorders>
              <w:top w:val="nil"/>
              <w:left w:val="nil"/>
              <w:bottom w:val="nil"/>
              <w:right w:val="nil"/>
            </w:tcBorders>
            <w:shd w:val="clear" w:color="auto" w:fill="auto"/>
            <w:noWrap/>
            <w:vAlign w:val="bottom"/>
            <w:hideMark/>
          </w:tcPr>
          <w:p w14:paraId="43F93F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F78C6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D368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4B79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8178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04EF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575D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9D34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E867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DBB8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4F02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2EEF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A7A37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69A9FA4" w14:textId="77777777" w:rsidTr="00280673">
        <w:trPr>
          <w:trHeight w:val="288"/>
        </w:trPr>
        <w:tc>
          <w:tcPr>
            <w:tcW w:w="1176" w:type="dxa"/>
            <w:tcBorders>
              <w:top w:val="nil"/>
              <w:left w:val="nil"/>
              <w:bottom w:val="nil"/>
              <w:right w:val="nil"/>
            </w:tcBorders>
            <w:shd w:val="clear" w:color="auto" w:fill="auto"/>
            <w:noWrap/>
            <w:vAlign w:val="bottom"/>
            <w:hideMark/>
          </w:tcPr>
          <w:p w14:paraId="4B59D1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B949E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5474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FEFB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0900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5D3A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8CBC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1D5F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F2E7D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B40A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05A3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6FB4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6FBC6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ED46C16" w14:textId="77777777" w:rsidTr="00280673">
        <w:trPr>
          <w:trHeight w:val="288"/>
        </w:trPr>
        <w:tc>
          <w:tcPr>
            <w:tcW w:w="1176" w:type="dxa"/>
            <w:tcBorders>
              <w:top w:val="nil"/>
              <w:left w:val="nil"/>
              <w:bottom w:val="nil"/>
              <w:right w:val="nil"/>
            </w:tcBorders>
            <w:shd w:val="clear" w:color="auto" w:fill="auto"/>
            <w:noWrap/>
            <w:vAlign w:val="bottom"/>
            <w:hideMark/>
          </w:tcPr>
          <w:p w14:paraId="54EB3E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CF71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5427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6D4C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11BB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4604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1F50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4E82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F424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21BB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24C3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661C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5A49F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055B73E" w14:textId="77777777" w:rsidTr="00280673">
        <w:trPr>
          <w:trHeight w:val="288"/>
        </w:trPr>
        <w:tc>
          <w:tcPr>
            <w:tcW w:w="1176" w:type="dxa"/>
            <w:tcBorders>
              <w:top w:val="nil"/>
              <w:left w:val="nil"/>
              <w:bottom w:val="nil"/>
              <w:right w:val="nil"/>
            </w:tcBorders>
            <w:shd w:val="clear" w:color="auto" w:fill="auto"/>
            <w:noWrap/>
            <w:vAlign w:val="bottom"/>
            <w:hideMark/>
          </w:tcPr>
          <w:p w14:paraId="76435C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3843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8702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6C5D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559F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CC9C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90FA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E93C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BF30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AFE7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5DB4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D39F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92C32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CA2B0D2" w14:textId="77777777" w:rsidTr="00280673">
        <w:trPr>
          <w:trHeight w:val="288"/>
        </w:trPr>
        <w:tc>
          <w:tcPr>
            <w:tcW w:w="1176" w:type="dxa"/>
            <w:tcBorders>
              <w:top w:val="nil"/>
              <w:left w:val="nil"/>
              <w:bottom w:val="nil"/>
              <w:right w:val="nil"/>
            </w:tcBorders>
            <w:shd w:val="clear" w:color="auto" w:fill="auto"/>
            <w:noWrap/>
            <w:vAlign w:val="bottom"/>
            <w:hideMark/>
          </w:tcPr>
          <w:p w14:paraId="436373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56CF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75C5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300A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FC85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8C28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03CE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0D37A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1E0F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4F87E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1E72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0861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862E1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7CB9FAF" w14:textId="77777777" w:rsidTr="00280673">
        <w:trPr>
          <w:trHeight w:val="288"/>
        </w:trPr>
        <w:tc>
          <w:tcPr>
            <w:tcW w:w="1176" w:type="dxa"/>
            <w:tcBorders>
              <w:top w:val="nil"/>
              <w:left w:val="nil"/>
              <w:bottom w:val="nil"/>
              <w:right w:val="nil"/>
            </w:tcBorders>
            <w:shd w:val="clear" w:color="auto" w:fill="auto"/>
            <w:noWrap/>
            <w:vAlign w:val="bottom"/>
            <w:hideMark/>
          </w:tcPr>
          <w:p w14:paraId="686656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08FA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8D1A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3994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0DE0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79B7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7D37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B47D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3CAA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73F2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2CAD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18C7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B0C6E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1220E12" w14:textId="77777777" w:rsidTr="00280673">
        <w:trPr>
          <w:trHeight w:val="288"/>
        </w:trPr>
        <w:tc>
          <w:tcPr>
            <w:tcW w:w="1176" w:type="dxa"/>
            <w:tcBorders>
              <w:top w:val="nil"/>
              <w:left w:val="nil"/>
              <w:bottom w:val="nil"/>
              <w:right w:val="nil"/>
            </w:tcBorders>
            <w:shd w:val="clear" w:color="auto" w:fill="auto"/>
            <w:noWrap/>
            <w:vAlign w:val="bottom"/>
            <w:hideMark/>
          </w:tcPr>
          <w:p w14:paraId="79B9A8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7585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A280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22A1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A292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DF86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3895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C578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A8EC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911E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57B6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09DB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23A29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80F0346" w14:textId="77777777" w:rsidTr="00280673">
        <w:trPr>
          <w:trHeight w:val="288"/>
        </w:trPr>
        <w:tc>
          <w:tcPr>
            <w:tcW w:w="1176" w:type="dxa"/>
            <w:tcBorders>
              <w:top w:val="nil"/>
              <w:left w:val="nil"/>
              <w:bottom w:val="nil"/>
              <w:right w:val="nil"/>
            </w:tcBorders>
            <w:shd w:val="clear" w:color="auto" w:fill="auto"/>
            <w:noWrap/>
            <w:vAlign w:val="bottom"/>
            <w:hideMark/>
          </w:tcPr>
          <w:p w14:paraId="628282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D0CC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3408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3F68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A8AC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E7EB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4C31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1E00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FA6F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9E27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4C82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240B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E93E7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0D4EFBF" w14:textId="77777777" w:rsidTr="00280673">
        <w:trPr>
          <w:trHeight w:val="288"/>
        </w:trPr>
        <w:tc>
          <w:tcPr>
            <w:tcW w:w="1176" w:type="dxa"/>
            <w:tcBorders>
              <w:top w:val="nil"/>
              <w:left w:val="nil"/>
              <w:bottom w:val="nil"/>
              <w:right w:val="nil"/>
            </w:tcBorders>
            <w:shd w:val="clear" w:color="auto" w:fill="auto"/>
            <w:noWrap/>
            <w:vAlign w:val="bottom"/>
            <w:hideMark/>
          </w:tcPr>
          <w:p w14:paraId="32FD61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8AD5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1E82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9317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078D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C080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FE02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A9A8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AD0A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83F6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85DE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A55E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24B8D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C78E68A" w14:textId="77777777" w:rsidTr="00280673">
        <w:trPr>
          <w:trHeight w:val="288"/>
        </w:trPr>
        <w:tc>
          <w:tcPr>
            <w:tcW w:w="1176" w:type="dxa"/>
            <w:tcBorders>
              <w:top w:val="nil"/>
              <w:left w:val="nil"/>
              <w:bottom w:val="nil"/>
              <w:right w:val="nil"/>
            </w:tcBorders>
            <w:shd w:val="clear" w:color="auto" w:fill="auto"/>
            <w:noWrap/>
            <w:vAlign w:val="bottom"/>
            <w:hideMark/>
          </w:tcPr>
          <w:p w14:paraId="43FE36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8623D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1A81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F21E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8A6D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8A1C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762D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BF77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53C4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AC94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C374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532A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8A15F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FFE63C4" w14:textId="77777777" w:rsidTr="00280673">
        <w:trPr>
          <w:trHeight w:val="288"/>
        </w:trPr>
        <w:tc>
          <w:tcPr>
            <w:tcW w:w="1176" w:type="dxa"/>
            <w:tcBorders>
              <w:top w:val="nil"/>
              <w:left w:val="nil"/>
              <w:bottom w:val="nil"/>
              <w:right w:val="nil"/>
            </w:tcBorders>
            <w:shd w:val="clear" w:color="auto" w:fill="auto"/>
            <w:noWrap/>
            <w:vAlign w:val="bottom"/>
            <w:hideMark/>
          </w:tcPr>
          <w:p w14:paraId="75311F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8373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EFF8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2FB4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1AAA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1D9C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0C7A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D314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D4E1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D5AC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3972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FA4E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9BC5C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607E401" w14:textId="77777777" w:rsidTr="00280673">
        <w:trPr>
          <w:trHeight w:val="288"/>
        </w:trPr>
        <w:tc>
          <w:tcPr>
            <w:tcW w:w="1176" w:type="dxa"/>
            <w:tcBorders>
              <w:top w:val="nil"/>
              <w:left w:val="nil"/>
              <w:bottom w:val="nil"/>
              <w:right w:val="nil"/>
            </w:tcBorders>
            <w:shd w:val="clear" w:color="auto" w:fill="auto"/>
            <w:noWrap/>
            <w:vAlign w:val="bottom"/>
            <w:hideMark/>
          </w:tcPr>
          <w:p w14:paraId="1D462A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CDB1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2921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E553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D455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F020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1B1D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3ED3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3D3F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AB04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EA51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539F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0F0A3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D960D47" w14:textId="77777777" w:rsidTr="00280673">
        <w:trPr>
          <w:trHeight w:val="288"/>
        </w:trPr>
        <w:tc>
          <w:tcPr>
            <w:tcW w:w="1176" w:type="dxa"/>
            <w:tcBorders>
              <w:top w:val="nil"/>
              <w:left w:val="nil"/>
              <w:bottom w:val="nil"/>
              <w:right w:val="nil"/>
            </w:tcBorders>
            <w:shd w:val="clear" w:color="auto" w:fill="auto"/>
            <w:noWrap/>
            <w:vAlign w:val="bottom"/>
            <w:hideMark/>
          </w:tcPr>
          <w:p w14:paraId="67C2D6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9E5D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6A4E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6025E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9A58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4B64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6385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FF31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216F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CD96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10BA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C8DD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D78F0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3A45599" w14:textId="77777777" w:rsidTr="00280673">
        <w:trPr>
          <w:trHeight w:val="288"/>
        </w:trPr>
        <w:tc>
          <w:tcPr>
            <w:tcW w:w="1176" w:type="dxa"/>
            <w:tcBorders>
              <w:top w:val="nil"/>
              <w:left w:val="nil"/>
              <w:bottom w:val="nil"/>
              <w:right w:val="nil"/>
            </w:tcBorders>
            <w:shd w:val="clear" w:color="auto" w:fill="auto"/>
            <w:noWrap/>
            <w:vAlign w:val="bottom"/>
            <w:hideMark/>
          </w:tcPr>
          <w:p w14:paraId="108836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A1D6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B4A2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BE8C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233F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4B3E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993D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E8F9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C2EA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AE45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A08A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E15D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D294D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515C910" w14:textId="77777777" w:rsidTr="00280673">
        <w:trPr>
          <w:trHeight w:val="288"/>
        </w:trPr>
        <w:tc>
          <w:tcPr>
            <w:tcW w:w="1176" w:type="dxa"/>
            <w:tcBorders>
              <w:top w:val="nil"/>
              <w:left w:val="nil"/>
              <w:bottom w:val="nil"/>
              <w:right w:val="nil"/>
            </w:tcBorders>
            <w:shd w:val="clear" w:color="auto" w:fill="auto"/>
            <w:noWrap/>
            <w:vAlign w:val="bottom"/>
            <w:hideMark/>
          </w:tcPr>
          <w:p w14:paraId="527474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97A3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5BCD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FA38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4A0B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A0C4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9A2E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043F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1191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10E4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26E1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B107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7D9DA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35C521A" w14:textId="77777777" w:rsidTr="00280673">
        <w:trPr>
          <w:trHeight w:val="288"/>
        </w:trPr>
        <w:tc>
          <w:tcPr>
            <w:tcW w:w="1176" w:type="dxa"/>
            <w:tcBorders>
              <w:top w:val="nil"/>
              <w:left w:val="nil"/>
              <w:bottom w:val="nil"/>
              <w:right w:val="nil"/>
            </w:tcBorders>
            <w:shd w:val="clear" w:color="auto" w:fill="auto"/>
            <w:noWrap/>
            <w:vAlign w:val="bottom"/>
            <w:hideMark/>
          </w:tcPr>
          <w:p w14:paraId="0FCF49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52C3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1AB3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5EF9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856F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21731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47F7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E9A0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C7AF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9CEB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034E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F187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EFB76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696435D" w14:textId="77777777" w:rsidTr="00280673">
        <w:trPr>
          <w:trHeight w:val="288"/>
        </w:trPr>
        <w:tc>
          <w:tcPr>
            <w:tcW w:w="1176" w:type="dxa"/>
            <w:tcBorders>
              <w:top w:val="nil"/>
              <w:left w:val="nil"/>
              <w:bottom w:val="nil"/>
              <w:right w:val="nil"/>
            </w:tcBorders>
            <w:shd w:val="clear" w:color="auto" w:fill="auto"/>
            <w:noWrap/>
            <w:vAlign w:val="bottom"/>
            <w:hideMark/>
          </w:tcPr>
          <w:p w14:paraId="07C654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B161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FEB0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CEA4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79DB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F9B7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F154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3A21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1958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7298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5284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B12B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ED8F1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9E910A9" w14:textId="77777777" w:rsidTr="00280673">
        <w:trPr>
          <w:trHeight w:val="288"/>
        </w:trPr>
        <w:tc>
          <w:tcPr>
            <w:tcW w:w="1176" w:type="dxa"/>
            <w:tcBorders>
              <w:top w:val="nil"/>
              <w:left w:val="nil"/>
              <w:bottom w:val="nil"/>
              <w:right w:val="nil"/>
            </w:tcBorders>
            <w:shd w:val="clear" w:color="auto" w:fill="auto"/>
            <w:noWrap/>
            <w:vAlign w:val="bottom"/>
            <w:hideMark/>
          </w:tcPr>
          <w:p w14:paraId="6DA305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16DA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CD8E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D075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31C5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7C0D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0B7F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38B4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6C56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351E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EA90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A757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D5389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A143774" w14:textId="77777777" w:rsidTr="00280673">
        <w:trPr>
          <w:trHeight w:val="288"/>
        </w:trPr>
        <w:tc>
          <w:tcPr>
            <w:tcW w:w="1176" w:type="dxa"/>
            <w:tcBorders>
              <w:top w:val="nil"/>
              <w:left w:val="nil"/>
              <w:bottom w:val="nil"/>
              <w:right w:val="nil"/>
            </w:tcBorders>
            <w:shd w:val="clear" w:color="auto" w:fill="auto"/>
            <w:noWrap/>
            <w:vAlign w:val="bottom"/>
            <w:hideMark/>
          </w:tcPr>
          <w:p w14:paraId="3D30FD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7578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9180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05AE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F7DF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42FB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B203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39D1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1A72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B133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21CE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FA43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02661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D60B772" w14:textId="77777777" w:rsidTr="00280673">
        <w:trPr>
          <w:trHeight w:val="288"/>
        </w:trPr>
        <w:tc>
          <w:tcPr>
            <w:tcW w:w="1176" w:type="dxa"/>
            <w:tcBorders>
              <w:top w:val="nil"/>
              <w:left w:val="nil"/>
              <w:bottom w:val="nil"/>
              <w:right w:val="nil"/>
            </w:tcBorders>
            <w:shd w:val="clear" w:color="auto" w:fill="auto"/>
            <w:noWrap/>
            <w:vAlign w:val="bottom"/>
            <w:hideMark/>
          </w:tcPr>
          <w:p w14:paraId="74A063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26BF5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8715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48A9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ABAE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4326D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34CD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C471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5324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9B05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2366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2972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1951B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0FC24F9" w14:textId="77777777" w:rsidTr="00280673">
        <w:trPr>
          <w:trHeight w:val="288"/>
        </w:trPr>
        <w:tc>
          <w:tcPr>
            <w:tcW w:w="1176" w:type="dxa"/>
            <w:tcBorders>
              <w:top w:val="nil"/>
              <w:left w:val="nil"/>
              <w:bottom w:val="nil"/>
              <w:right w:val="nil"/>
            </w:tcBorders>
            <w:shd w:val="clear" w:color="auto" w:fill="auto"/>
            <w:noWrap/>
            <w:vAlign w:val="bottom"/>
            <w:hideMark/>
          </w:tcPr>
          <w:p w14:paraId="526A3B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73A2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2407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3AF7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468F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0C33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202B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38BA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5210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4EBC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A2BD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3FCA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42AD3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7C16E49" w14:textId="77777777" w:rsidTr="00280673">
        <w:trPr>
          <w:trHeight w:val="288"/>
        </w:trPr>
        <w:tc>
          <w:tcPr>
            <w:tcW w:w="1176" w:type="dxa"/>
            <w:tcBorders>
              <w:top w:val="nil"/>
              <w:left w:val="nil"/>
              <w:bottom w:val="nil"/>
              <w:right w:val="nil"/>
            </w:tcBorders>
            <w:shd w:val="clear" w:color="auto" w:fill="auto"/>
            <w:noWrap/>
            <w:vAlign w:val="bottom"/>
            <w:hideMark/>
          </w:tcPr>
          <w:p w14:paraId="64231F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8D8F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CD18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29BD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4B4F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3887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AA96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5F28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A05D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38BC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A383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FC07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BE7CA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E14027F" w14:textId="77777777" w:rsidTr="00280673">
        <w:trPr>
          <w:trHeight w:val="288"/>
        </w:trPr>
        <w:tc>
          <w:tcPr>
            <w:tcW w:w="1176" w:type="dxa"/>
            <w:tcBorders>
              <w:top w:val="nil"/>
              <w:left w:val="nil"/>
              <w:bottom w:val="nil"/>
              <w:right w:val="nil"/>
            </w:tcBorders>
            <w:shd w:val="clear" w:color="auto" w:fill="auto"/>
            <w:noWrap/>
            <w:vAlign w:val="bottom"/>
            <w:hideMark/>
          </w:tcPr>
          <w:p w14:paraId="72B0A8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4CA3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2C09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71AD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2855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5486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BAC87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A906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636A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FE4D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FE44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91BA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B10B8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D00BFA9" w14:textId="77777777" w:rsidTr="00280673">
        <w:trPr>
          <w:trHeight w:val="288"/>
        </w:trPr>
        <w:tc>
          <w:tcPr>
            <w:tcW w:w="1176" w:type="dxa"/>
            <w:tcBorders>
              <w:top w:val="nil"/>
              <w:left w:val="nil"/>
              <w:bottom w:val="nil"/>
              <w:right w:val="nil"/>
            </w:tcBorders>
            <w:shd w:val="clear" w:color="auto" w:fill="auto"/>
            <w:noWrap/>
            <w:vAlign w:val="bottom"/>
            <w:hideMark/>
          </w:tcPr>
          <w:p w14:paraId="40B0B4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16EC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7DE9D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819A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1C8A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F2B8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9896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E361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1BD1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421B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2900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01C1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782A6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8F19FCE" w14:textId="77777777" w:rsidTr="00280673">
        <w:trPr>
          <w:trHeight w:val="288"/>
        </w:trPr>
        <w:tc>
          <w:tcPr>
            <w:tcW w:w="1176" w:type="dxa"/>
            <w:tcBorders>
              <w:top w:val="nil"/>
              <w:left w:val="nil"/>
              <w:bottom w:val="nil"/>
              <w:right w:val="nil"/>
            </w:tcBorders>
            <w:shd w:val="clear" w:color="auto" w:fill="auto"/>
            <w:noWrap/>
            <w:vAlign w:val="bottom"/>
            <w:hideMark/>
          </w:tcPr>
          <w:p w14:paraId="20C5A0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A523D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5BC6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D01C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D4B4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1A6C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B4C5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FB41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FD72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1FE7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0BC0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ED1D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7E1E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2D2324F" w14:textId="77777777" w:rsidTr="00280673">
        <w:trPr>
          <w:trHeight w:val="288"/>
        </w:trPr>
        <w:tc>
          <w:tcPr>
            <w:tcW w:w="1176" w:type="dxa"/>
            <w:tcBorders>
              <w:top w:val="nil"/>
              <w:left w:val="nil"/>
              <w:bottom w:val="nil"/>
              <w:right w:val="nil"/>
            </w:tcBorders>
            <w:shd w:val="clear" w:color="auto" w:fill="auto"/>
            <w:noWrap/>
            <w:vAlign w:val="bottom"/>
            <w:hideMark/>
          </w:tcPr>
          <w:p w14:paraId="388C49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E2E4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6700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82F5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11B2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FD9C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5B84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EB1C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AB66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7FE4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623E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0D93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E83F5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1EF5DF2" w14:textId="77777777" w:rsidTr="00280673">
        <w:trPr>
          <w:trHeight w:val="288"/>
        </w:trPr>
        <w:tc>
          <w:tcPr>
            <w:tcW w:w="1176" w:type="dxa"/>
            <w:tcBorders>
              <w:top w:val="nil"/>
              <w:left w:val="nil"/>
              <w:bottom w:val="nil"/>
              <w:right w:val="nil"/>
            </w:tcBorders>
            <w:shd w:val="clear" w:color="auto" w:fill="auto"/>
            <w:noWrap/>
            <w:vAlign w:val="bottom"/>
            <w:hideMark/>
          </w:tcPr>
          <w:p w14:paraId="64E0F4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2084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7F9E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F997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3C61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6B9D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92B6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6075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8EB5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C779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8FB3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F655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3817A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ECD72AC" w14:textId="77777777" w:rsidTr="00280673">
        <w:trPr>
          <w:trHeight w:val="288"/>
        </w:trPr>
        <w:tc>
          <w:tcPr>
            <w:tcW w:w="1176" w:type="dxa"/>
            <w:tcBorders>
              <w:top w:val="nil"/>
              <w:left w:val="nil"/>
              <w:bottom w:val="nil"/>
              <w:right w:val="nil"/>
            </w:tcBorders>
            <w:shd w:val="clear" w:color="auto" w:fill="auto"/>
            <w:noWrap/>
            <w:vAlign w:val="bottom"/>
            <w:hideMark/>
          </w:tcPr>
          <w:p w14:paraId="26F3DA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0B21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078D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CE83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A291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C3591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3E17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1E60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63FC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D1C2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17D8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DEEF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89BAB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B190E34" w14:textId="77777777" w:rsidTr="00280673">
        <w:trPr>
          <w:trHeight w:val="288"/>
        </w:trPr>
        <w:tc>
          <w:tcPr>
            <w:tcW w:w="1176" w:type="dxa"/>
            <w:tcBorders>
              <w:top w:val="nil"/>
              <w:left w:val="nil"/>
              <w:bottom w:val="nil"/>
              <w:right w:val="nil"/>
            </w:tcBorders>
            <w:shd w:val="clear" w:color="auto" w:fill="auto"/>
            <w:noWrap/>
            <w:vAlign w:val="bottom"/>
            <w:hideMark/>
          </w:tcPr>
          <w:p w14:paraId="1AB509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2906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D8E6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1EF3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7AD4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2DE6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EC01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01E1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392F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E52D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0B69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E811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E2350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B916727" w14:textId="77777777" w:rsidTr="00280673">
        <w:trPr>
          <w:trHeight w:val="288"/>
        </w:trPr>
        <w:tc>
          <w:tcPr>
            <w:tcW w:w="1176" w:type="dxa"/>
            <w:tcBorders>
              <w:top w:val="nil"/>
              <w:left w:val="nil"/>
              <w:bottom w:val="nil"/>
              <w:right w:val="nil"/>
            </w:tcBorders>
            <w:shd w:val="clear" w:color="auto" w:fill="auto"/>
            <w:noWrap/>
            <w:vAlign w:val="bottom"/>
            <w:hideMark/>
          </w:tcPr>
          <w:p w14:paraId="0B42D7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5AD7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120C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680B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8E32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36FB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136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67FD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6823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27C1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41603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15A4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475B9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E564D0B" w14:textId="77777777" w:rsidTr="00280673">
        <w:trPr>
          <w:trHeight w:val="288"/>
        </w:trPr>
        <w:tc>
          <w:tcPr>
            <w:tcW w:w="1176" w:type="dxa"/>
            <w:tcBorders>
              <w:top w:val="nil"/>
              <w:left w:val="nil"/>
              <w:bottom w:val="nil"/>
              <w:right w:val="nil"/>
            </w:tcBorders>
            <w:shd w:val="clear" w:color="auto" w:fill="auto"/>
            <w:noWrap/>
            <w:vAlign w:val="bottom"/>
            <w:hideMark/>
          </w:tcPr>
          <w:p w14:paraId="042F1F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C923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E62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C122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4E59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D299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4D81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7816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03B4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4255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DF8C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2E17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3BB9D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A74400A" w14:textId="77777777" w:rsidTr="00280673">
        <w:trPr>
          <w:trHeight w:val="288"/>
        </w:trPr>
        <w:tc>
          <w:tcPr>
            <w:tcW w:w="1176" w:type="dxa"/>
            <w:tcBorders>
              <w:top w:val="nil"/>
              <w:left w:val="nil"/>
              <w:bottom w:val="nil"/>
              <w:right w:val="nil"/>
            </w:tcBorders>
            <w:shd w:val="clear" w:color="auto" w:fill="auto"/>
            <w:noWrap/>
            <w:vAlign w:val="bottom"/>
            <w:hideMark/>
          </w:tcPr>
          <w:p w14:paraId="0FD67F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DDB0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C0FD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C9B9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D369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7B34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A8F6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F542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0A84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8F53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7410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A007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56E3F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6273990F" w14:textId="6E9C8F20" w:rsidR="00280673" w:rsidRDefault="00280673"/>
    <w:p w14:paraId="072BC221" w14:textId="214BA686" w:rsidR="00280673" w:rsidRDefault="00280673"/>
    <w:p w14:paraId="6E4034A6" w14:textId="5406873C" w:rsidR="00280673" w:rsidRDefault="00280673"/>
    <w:p w14:paraId="197EE855" w14:textId="61B7D031" w:rsidR="00280673" w:rsidRDefault="00280673"/>
    <w:p w14:paraId="63BADAD0" w14:textId="4E7067EF" w:rsidR="00280673" w:rsidRDefault="00280673"/>
    <w:p w14:paraId="49500D92" w14:textId="4496A206" w:rsidR="00280673" w:rsidRDefault="00280673"/>
    <w:p w14:paraId="61D288A2" w14:textId="789476A7" w:rsidR="00280673" w:rsidRDefault="00280673"/>
    <w:p w14:paraId="49126A72" w14:textId="664739DB" w:rsidR="00280673" w:rsidRDefault="00280673"/>
    <w:tbl>
      <w:tblPr>
        <w:tblpPr w:leftFromText="180" w:rightFromText="180" w:horzAnchor="margin" w:tblpXSpec="center" w:tblpY="-1212"/>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68040782" w14:textId="77777777" w:rsidTr="00280673">
        <w:trPr>
          <w:trHeight w:val="288"/>
        </w:trPr>
        <w:tc>
          <w:tcPr>
            <w:tcW w:w="1176" w:type="dxa"/>
            <w:tcBorders>
              <w:top w:val="nil"/>
              <w:left w:val="nil"/>
              <w:bottom w:val="nil"/>
              <w:right w:val="nil"/>
            </w:tcBorders>
            <w:shd w:val="clear" w:color="auto" w:fill="auto"/>
            <w:noWrap/>
            <w:vAlign w:val="bottom"/>
            <w:hideMark/>
          </w:tcPr>
          <w:p w14:paraId="06D9F946" w14:textId="09943421"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64384" behindDoc="0" locked="0" layoutInCell="1" allowOverlap="1" wp14:anchorId="5A799F1D" wp14:editId="096F3014">
                  <wp:simplePos x="0" y="0"/>
                  <wp:positionH relativeFrom="column">
                    <wp:posOffset>0</wp:posOffset>
                  </wp:positionH>
                  <wp:positionV relativeFrom="paragraph">
                    <wp:posOffset>-7620</wp:posOffset>
                  </wp:positionV>
                  <wp:extent cx="7940040" cy="6233160"/>
                  <wp:effectExtent l="0" t="0" r="3810" b="15240"/>
                  <wp:wrapNone/>
                  <wp:docPr id="9" name="Chart 9">
                    <a:extLst xmlns:a="http://schemas.openxmlformats.org/drawingml/2006/main">
                      <a:ext uri="{FF2B5EF4-FFF2-40B4-BE49-F238E27FC236}">
                        <a16:creationId xmlns:a16="http://schemas.microsoft.com/office/drawing/2014/main" id="{8A8F75CF-899C-4058-BD61-7E8A5BE00759}"/>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7A0B978F" w14:textId="77777777">
              <w:trPr>
                <w:trHeight w:val="288"/>
                <w:tblCellSpacing w:w="0" w:type="dxa"/>
              </w:trPr>
              <w:tc>
                <w:tcPr>
                  <w:tcW w:w="960" w:type="dxa"/>
                  <w:tcBorders>
                    <w:top w:val="nil"/>
                    <w:left w:val="nil"/>
                    <w:bottom w:val="nil"/>
                    <w:right w:val="nil"/>
                  </w:tcBorders>
                  <w:shd w:val="clear" w:color="auto" w:fill="auto"/>
                  <w:noWrap/>
                  <w:vAlign w:val="bottom"/>
                  <w:hideMark/>
                </w:tcPr>
                <w:p w14:paraId="733CAED2" w14:textId="77777777" w:rsidR="00280673" w:rsidRPr="00280673" w:rsidRDefault="00280673" w:rsidP="0079239A">
                  <w:pPr>
                    <w:framePr w:hSpace="180" w:wrap="around" w:hAnchor="margin" w:xAlign="center" w:y="-1212"/>
                    <w:spacing w:after="0" w:line="240" w:lineRule="auto"/>
                    <w:rPr>
                      <w:rFonts w:ascii="Calibri" w:eastAsia="Times New Roman" w:hAnsi="Calibri" w:cs="Calibri"/>
                      <w:color w:val="000000"/>
                    </w:rPr>
                  </w:pPr>
                </w:p>
              </w:tc>
            </w:tr>
          </w:tbl>
          <w:p w14:paraId="29C25118"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1EADE1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A57F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23C0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A635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6CDD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7CB0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8590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0981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BAA4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5061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C6AF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54245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8A758D7" w14:textId="77777777" w:rsidTr="00280673">
        <w:trPr>
          <w:trHeight w:val="288"/>
        </w:trPr>
        <w:tc>
          <w:tcPr>
            <w:tcW w:w="1176" w:type="dxa"/>
            <w:tcBorders>
              <w:top w:val="nil"/>
              <w:left w:val="nil"/>
              <w:bottom w:val="nil"/>
              <w:right w:val="nil"/>
            </w:tcBorders>
            <w:shd w:val="clear" w:color="auto" w:fill="auto"/>
            <w:noWrap/>
            <w:vAlign w:val="bottom"/>
            <w:hideMark/>
          </w:tcPr>
          <w:p w14:paraId="7DA0EC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9DE8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E8B1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DDE59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BDBA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B543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E053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F1EF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6C09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BD2B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3FDF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7803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2FC50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5AA7AE5" w14:textId="77777777" w:rsidTr="00280673">
        <w:trPr>
          <w:trHeight w:val="288"/>
        </w:trPr>
        <w:tc>
          <w:tcPr>
            <w:tcW w:w="1176" w:type="dxa"/>
            <w:tcBorders>
              <w:top w:val="nil"/>
              <w:left w:val="nil"/>
              <w:bottom w:val="nil"/>
              <w:right w:val="nil"/>
            </w:tcBorders>
            <w:shd w:val="clear" w:color="auto" w:fill="auto"/>
            <w:noWrap/>
            <w:vAlign w:val="bottom"/>
            <w:hideMark/>
          </w:tcPr>
          <w:p w14:paraId="570817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6C43D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72D2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07A1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BBBC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2B4B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FB0C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1266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E374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0A33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6CF3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B6E6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C7663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F665A04" w14:textId="77777777" w:rsidTr="00280673">
        <w:trPr>
          <w:trHeight w:val="288"/>
        </w:trPr>
        <w:tc>
          <w:tcPr>
            <w:tcW w:w="1176" w:type="dxa"/>
            <w:tcBorders>
              <w:top w:val="nil"/>
              <w:left w:val="nil"/>
              <w:bottom w:val="nil"/>
              <w:right w:val="nil"/>
            </w:tcBorders>
            <w:shd w:val="clear" w:color="auto" w:fill="auto"/>
            <w:noWrap/>
            <w:vAlign w:val="bottom"/>
            <w:hideMark/>
          </w:tcPr>
          <w:p w14:paraId="48396E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4B06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558D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2585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6CB5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8B5B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4B9F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3C82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5936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7C94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5605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2DBB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78266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3FC1B0D" w14:textId="77777777" w:rsidTr="00280673">
        <w:trPr>
          <w:trHeight w:val="288"/>
        </w:trPr>
        <w:tc>
          <w:tcPr>
            <w:tcW w:w="1176" w:type="dxa"/>
            <w:tcBorders>
              <w:top w:val="nil"/>
              <w:left w:val="nil"/>
              <w:bottom w:val="nil"/>
              <w:right w:val="nil"/>
            </w:tcBorders>
            <w:shd w:val="clear" w:color="auto" w:fill="auto"/>
            <w:noWrap/>
            <w:vAlign w:val="bottom"/>
            <w:hideMark/>
          </w:tcPr>
          <w:p w14:paraId="24983D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7916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5864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166F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BDB2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7A21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589E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C5BA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83CE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9203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9E68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1BC6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8D7CD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8DE22AF" w14:textId="77777777" w:rsidTr="00280673">
        <w:trPr>
          <w:trHeight w:val="288"/>
        </w:trPr>
        <w:tc>
          <w:tcPr>
            <w:tcW w:w="1176" w:type="dxa"/>
            <w:tcBorders>
              <w:top w:val="nil"/>
              <w:left w:val="nil"/>
              <w:bottom w:val="nil"/>
              <w:right w:val="nil"/>
            </w:tcBorders>
            <w:shd w:val="clear" w:color="auto" w:fill="auto"/>
            <w:noWrap/>
            <w:vAlign w:val="bottom"/>
            <w:hideMark/>
          </w:tcPr>
          <w:p w14:paraId="09A6A9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C9FC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EA2E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FDFB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AF40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371EA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9F16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2F0AA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B9C1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4E9F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51E8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6298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7AB77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9A0281C" w14:textId="77777777" w:rsidTr="00280673">
        <w:trPr>
          <w:trHeight w:val="288"/>
        </w:trPr>
        <w:tc>
          <w:tcPr>
            <w:tcW w:w="1176" w:type="dxa"/>
            <w:tcBorders>
              <w:top w:val="nil"/>
              <w:left w:val="nil"/>
              <w:bottom w:val="nil"/>
              <w:right w:val="nil"/>
            </w:tcBorders>
            <w:shd w:val="clear" w:color="auto" w:fill="auto"/>
            <w:noWrap/>
            <w:vAlign w:val="bottom"/>
            <w:hideMark/>
          </w:tcPr>
          <w:p w14:paraId="1CE559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98503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4A9E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B847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A44B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E744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3B6D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EDCE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28C0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7F1C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73FA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5F5C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7B921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A384A55" w14:textId="77777777" w:rsidTr="00280673">
        <w:trPr>
          <w:trHeight w:val="288"/>
        </w:trPr>
        <w:tc>
          <w:tcPr>
            <w:tcW w:w="1176" w:type="dxa"/>
            <w:tcBorders>
              <w:top w:val="nil"/>
              <w:left w:val="nil"/>
              <w:bottom w:val="nil"/>
              <w:right w:val="nil"/>
            </w:tcBorders>
            <w:shd w:val="clear" w:color="auto" w:fill="auto"/>
            <w:noWrap/>
            <w:vAlign w:val="bottom"/>
            <w:hideMark/>
          </w:tcPr>
          <w:p w14:paraId="102FBD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80C17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8A2D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09D1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B60E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482B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B4FC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3E0C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8491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D2EF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4490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5969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36D93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3372422" w14:textId="77777777" w:rsidTr="00280673">
        <w:trPr>
          <w:trHeight w:val="288"/>
        </w:trPr>
        <w:tc>
          <w:tcPr>
            <w:tcW w:w="1176" w:type="dxa"/>
            <w:tcBorders>
              <w:top w:val="nil"/>
              <w:left w:val="nil"/>
              <w:bottom w:val="nil"/>
              <w:right w:val="nil"/>
            </w:tcBorders>
            <w:shd w:val="clear" w:color="auto" w:fill="auto"/>
            <w:noWrap/>
            <w:vAlign w:val="bottom"/>
            <w:hideMark/>
          </w:tcPr>
          <w:p w14:paraId="1C8864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86BF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65E8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9F10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4E96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F689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0668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EA28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1478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60AA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7EEF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BCBB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75C5E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C9B486A" w14:textId="77777777" w:rsidTr="00280673">
        <w:trPr>
          <w:trHeight w:val="288"/>
        </w:trPr>
        <w:tc>
          <w:tcPr>
            <w:tcW w:w="1176" w:type="dxa"/>
            <w:tcBorders>
              <w:top w:val="nil"/>
              <w:left w:val="nil"/>
              <w:bottom w:val="nil"/>
              <w:right w:val="nil"/>
            </w:tcBorders>
            <w:shd w:val="clear" w:color="auto" w:fill="auto"/>
            <w:noWrap/>
            <w:vAlign w:val="bottom"/>
            <w:hideMark/>
          </w:tcPr>
          <w:p w14:paraId="257223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B705A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61D6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6540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6CF8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904B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A785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B91C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8CD9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6EE1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D72E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0ECE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279C1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864E1B8" w14:textId="77777777" w:rsidTr="00280673">
        <w:trPr>
          <w:trHeight w:val="288"/>
        </w:trPr>
        <w:tc>
          <w:tcPr>
            <w:tcW w:w="1176" w:type="dxa"/>
            <w:tcBorders>
              <w:top w:val="nil"/>
              <w:left w:val="nil"/>
              <w:bottom w:val="nil"/>
              <w:right w:val="nil"/>
            </w:tcBorders>
            <w:shd w:val="clear" w:color="auto" w:fill="auto"/>
            <w:noWrap/>
            <w:vAlign w:val="bottom"/>
            <w:hideMark/>
          </w:tcPr>
          <w:p w14:paraId="2C35D7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8EF2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FF28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D065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E050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87FA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AC49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9F0A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50CB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A235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DD6DA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C3CB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668E1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32C4529" w14:textId="77777777" w:rsidTr="00280673">
        <w:trPr>
          <w:trHeight w:val="288"/>
        </w:trPr>
        <w:tc>
          <w:tcPr>
            <w:tcW w:w="1176" w:type="dxa"/>
            <w:tcBorders>
              <w:top w:val="nil"/>
              <w:left w:val="nil"/>
              <w:bottom w:val="nil"/>
              <w:right w:val="nil"/>
            </w:tcBorders>
            <w:shd w:val="clear" w:color="auto" w:fill="auto"/>
            <w:noWrap/>
            <w:vAlign w:val="bottom"/>
            <w:hideMark/>
          </w:tcPr>
          <w:p w14:paraId="713404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9E30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B350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2A1F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FE2C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F278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13BC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2FD7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7C238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6C9A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6B8A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A775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6635D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647F0CE" w14:textId="77777777" w:rsidTr="00280673">
        <w:trPr>
          <w:trHeight w:val="288"/>
        </w:trPr>
        <w:tc>
          <w:tcPr>
            <w:tcW w:w="1176" w:type="dxa"/>
            <w:tcBorders>
              <w:top w:val="nil"/>
              <w:left w:val="nil"/>
              <w:bottom w:val="nil"/>
              <w:right w:val="nil"/>
            </w:tcBorders>
            <w:shd w:val="clear" w:color="auto" w:fill="auto"/>
            <w:noWrap/>
            <w:vAlign w:val="bottom"/>
            <w:hideMark/>
          </w:tcPr>
          <w:p w14:paraId="5465F7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D03B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745C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FB10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BB5C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DFD3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C9A5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E630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D2DC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67D6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9318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0FDE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E0847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7553CDF" w14:textId="77777777" w:rsidTr="00280673">
        <w:trPr>
          <w:trHeight w:val="288"/>
        </w:trPr>
        <w:tc>
          <w:tcPr>
            <w:tcW w:w="1176" w:type="dxa"/>
            <w:tcBorders>
              <w:top w:val="nil"/>
              <w:left w:val="nil"/>
              <w:bottom w:val="nil"/>
              <w:right w:val="nil"/>
            </w:tcBorders>
            <w:shd w:val="clear" w:color="auto" w:fill="auto"/>
            <w:noWrap/>
            <w:vAlign w:val="bottom"/>
            <w:hideMark/>
          </w:tcPr>
          <w:p w14:paraId="10EDBB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3614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CC4B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8B14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8F0D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FF07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DD73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A64F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3BF7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9721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FDAB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B12F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76097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0F62F33" w14:textId="77777777" w:rsidTr="00280673">
        <w:trPr>
          <w:trHeight w:val="288"/>
        </w:trPr>
        <w:tc>
          <w:tcPr>
            <w:tcW w:w="1176" w:type="dxa"/>
            <w:tcBorders>
              <w:top w:val="nil"/>
              <w:left w:val="nil"/>
              <w:bottom w:val="nil"/>
              <w:right w:val="nil"/>
            </w:tcBorders>
            <w:shd w:val="clear" w:color="auto" w:fill="auto"/>
            <w:noWrap/>
            <w:vAlign w:val="bottom"/>
            <w:hideMark/>
          </w:tcPr>
          <w:p w14:paraId="2C0D04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6F22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8510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CADE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BB1F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B144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9833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0BB4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074B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D868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226B3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7896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26B4E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888F29A" w14:textId="77777777" w:rsidTr="00280673">
        <w:trPr>
          <w:trHeight w:val="288"/>
        </w:trPr>
        <w:tc>
          <w:tcPr>
            <w:tcW w:w="1176" w:type="dxa"/>
            <w:tcBorders>
              <w:top w:val="nil"/>
              <w:left w:val="nil"/>
              <w:bottom w:val="nil"/>
              <w:right w:val="nil"/>
            </w:tcBorders>
            <w:shd w:val="clear" w:color="auto" w:fill="auto"/>
            <w:noWrap/>
            <w:vAlign w:val="bottom"/>
            <w:hideMark/>
          </w:tcPr>
          <w:p w14:paraId="1F7D7C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30B8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0F93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974B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2FFA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997A7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FC70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7720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340B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A0C8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35FB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0037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4BC31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FCCF8C7" w14:textId="77777777" w:rsidTr="00280673">
        <w:trPr>
          <w:trHeight w:val="288"/>
        </w:trPr>
        <w:tc>
          <w:tcPr>
            <w:tcW w:w="1176" w:type="dxa"/>
            <w:tcBorders>
              <w:top w:val="nil"/>
              <w:left w:val="nil"/>
              <w:bottom w:val="nil"/>
              <w:right w:val="nil"/>
            </w:tcBorders>
            <w:shd w:val="clear" w:color="auto" w:fill="auto"/>
            <w:noWrap/>
            <w:vAlign w:val="bottom"/>
            <w:hideMark/>
          </w:tcPr>
          <w:p w14:paraId="08CFA0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5B0A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AE2C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FAD5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ECAF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0EC3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7539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31C7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B618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C491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08BD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6828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EECA2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E1B0D8E" w14:textId="77777777" w:rsidTr="00280673">
        <w:trPr>
          <w:trHeight w:val="288"/>
        </w:trPr>
        <w:tc>
          <w:tcPr>
            <w:tcW w:w="1176" w:type="dxa"/>
            <w:tcBorders>
              <w:top w:val="nil"/>
              <w:left w:val="nil"/>
              <w:bottom w:val="nil"/>
              <w:right w:val="nil"/>
            </w:tcBorders>
            <w:shd w:val="clear" w:color="auto" w:fill="auto"/>
            <w:noWrap/>
            <w:vAlign w:val="bottom"/>
            <w:hideMark/>
          </w:tcPr>
          <w:p w14:paraId="5570CB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3231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AAF1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F363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3E08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D954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8F1E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8ACD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047E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757A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EEE1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56C2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6948C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5FF2134" w14:textId="77777777" w:rsidTr="00280673">
        <w:trPr>
          <w:trHeight w:val="288"/>
        </w:trPr>
        <w:tc>
          <w:tcPr>
            <w:tcW w:w="1176" w:type="dxa"/>
            <w:tcBorders>
              <w:top w:val="nil"/>
              <w:left w:val="nil"/>
              <w:bottom w:val="nil"/>
              <w:right w:val="nil"/>
            </w:tcBorders>
            <w:shd w:val="clear" w:color="auto" w:fill="auto"/>
            <w:noWrap/>
            <w:vAlign w:val="bottom"/>
            <w:hideMark/>
          </w:tcPr>
          <w:p w14:paraId="1EE3F1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A932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F124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024F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A78D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DB82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375E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3AD4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EE6A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6C3E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9937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E3F7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AC09C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6389CDC" w14:textId="77777777" w:rsidTr="00280673">
        <w:trPr>
          <w:trHeight w:val="288"/>
        </w:trPr>
        <w:tc>
          <w:tcPr>
            <w:tcW w:w="1176" w:type="dxa"/>
            <w:tcBorders>
              <w:top w:val="nil"/>
              <w:left w:val="nil"/>
              <w:bottom w:val="nil"/>
              <w:right w:val="nil"/>
            </w:tcBorders>
            <w:shd w:val="clear" w:color="auto" w:fill="auto"/>
            <w:noWrap/>
            <w:vAlign w:val="bottom"/>
            <w:hideMark/>
          </w:tcPr>
          <w:p w14:paraId="37A9BD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E723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5C1E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0E48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FFE8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7847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6CFD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4921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A3C7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16A7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2DDB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57D3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603E0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45A8ECD" w14:textId="77777777" w:rsidTr="00280673">
        <w:trPr>
          <w:trHeight w:val="288"/>
        </w:trPr>
        <w:tc>
          <w:tcPr>
            <w:tcW w:w="1176" w:type="dxa"/>
            <w:tcBorders>
              <w:top w:val="nil"/>
              <w:left w:val="nil"/>
              <w:bottom w:val="nil"/>
              <w:right w:val="nil"/>
            </w:tcBorders>
            <w:shd w:val="clear" w:color="auto" w:fill="auto"/>
            <w:noWrap/>
            <w:vAlign w:val="bottom"/>
            <w:hideMark/>
          </w:tcPr>
          <w:p w14:paraId="74E689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399F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9B7C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09D2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D216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AE09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AB52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95D2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ADF5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AC22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A4DC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BDDF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2C523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F2E61F9" w14:textId="77777777" w:rsidTr="00280673">
        <w:trPr>
          <w:trHeight w:val="288"/>
        </w:trPr>
        <w:tc>
          <w:tcPr>
            <w:tcW w:w="1176" w:type="dxa"/>
            <w:tcBorders>
              <w:top w:val="nil"/>
              <w:left w:val="nil"/>
              <w:bottom w:val="nil"/>
              <w:right w:val="nil"/>
            </w:tcBorders>
            <w:shd w:val="clear" w:color="auto" w:fill="auto"/>
            <w:noWrap/>
            <w:vAlign w:val="bottom"/>
            <w:hideMark/>
          </w:tcPr>
          <w:p w14:paraId="712516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D395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2A94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80E4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BE11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C45A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DFCA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580E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2F19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F45D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A9C2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8F04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B8BCC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875A2DA" w14:textId="77777777" w:rsidTr="00280673">
        <w:trPr>
          <w:trHeight w:val="288"/>
        </w:trPr>
        <w:tc>
          <w:tcPr>
            <w:tcW w:w="1176" w:type="dxa"/>
            <w:tcBorders>
              <w:top w:val="nil"/>
              <w:left w:val="nil"/>
              <w:bottom w:val="nil"/>
              <w:right w:val="nil"/>
            </w:tcBorders>
            <w:shd w:val="clear" w:color="auto" w:fill="auto"/>
            <w:noWrap/>
            <w:vAlign w:val="bottom"/>
            <w:hideMark/>
          </w:tcPr>
          <w:p w14:paraId="317185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0F8C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9A8D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3974E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4744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0D30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0C82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F7CE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A6E4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8DE2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3279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6580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FBD70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D7A9BF2" w14:textId="77777777" w:rsidTr="00280673">
        <w:trPr>
          <w:trHeight w:val="288"/>
        </w:trPr>
        <w:tc>
          <w:tcPr>
            <w:tcW w:w="1176" w:type="dxa"/>
            <w:tcBorders>
              <w:top w:val="nil"/>
              <w:left w:val="nil"/>
              <w:bottom w:val="nil"/>
              <w:right w:val="nil"/>
            </w:tcBorders>
            <w:shd w:val="clear" w:color="auto" w:fill="auto"/>
            <w:noWrap/>
            <w:vAlign w:val="bottom"/>
            <w:hideMark/>
          </w:tcPr>
          <w:p w14:paraId="13F567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935F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B7F7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9DD5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236C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F757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EB31B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DFC1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0A76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5F22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B273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FB60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C10F7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8D7E5DC" w14:textId="77777777" w:rsidTr="00280673">
        <w:trPr>
          <w:trHeight w:val="288"/>
        </w:trPr>
        <w:tc>
          <w:tcPr>
            <w:tcW w:w="1176" w:type="dxa"/>
            <w:tcBorders>
              <w:top w:val="nil"/>
              <w:left w:val="nil"/>
              <w:bottom w:val="nil"/>
              <w:right w:val="nil"/>
            </w:tcBorders>
            <w:shd w:val="clear" w:color="auto" w:fill="auto"/>
            <w:noWrap/>
            <w:vAlign w:val="bottom"/>
            <w:hideMark/>
          </w:tcPr>
          <w:p w14:paraId="13BD85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BF2E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702B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2E76E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93E5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CA67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F26A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ED97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DEEC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2301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F2E0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89D4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B9394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A3E36B2" w14:textId="77777777" w:rsidTr="00280673">
        <w:trPr>
          <w:trHeight w:val="288"/>
        </w:trPr>
        <w:tc>
          <w:tcPr>
            <w:tcW w:w="1176" w:type="dxa"/>
            <w:tcBorders>
              <w:top w:val="nil"/>
              <w:left w:val="nil"/>
              <w:bottom w:val="nil"/>
              <w:right w:val="nil"/>
            </w:tcBorders>
            <w:shd w:val="clear" w:color="auto" w:fill="auto"/>
            <w:noWrap/>
            <w:vAlign w:val="bottom"/>
            <w:hideMark/>
          </w:tcPr>
          <w:p w14:paraId="1D9A0D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F852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832D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802D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61F5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080BA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B4D2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FC4C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0F6F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302A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E35F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D2E9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65B0D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87E03C7" w14:textId="77777777" w:rsidTr="00280673">
        <w:trPr>
          <w:trHeight w:val="288"/>
        </w:trPr>
        <w:tc>
          <w:tcPr>
            <w:tcW w:w="1176" w:type="dxa"/>
            <w:tcBorders>
              <w:top w:val="nil"/>
              <w:left w:val="nil"/>
              <w:bottom w:val="nil"/>
              <w:right w:val="nil"/>
            </w:tcBorders>
            <w:shd w:val="clear" w:color="auto" w:fill="auto"/>
            <w:noWrap/>
            <w:vAlign w:val="bottom"/>
            <w:hideMark/>
          </w:tcPr>
          <w:p w14:paraId="2FC517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27D0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814D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98D7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864F8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A688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D04E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57CC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422C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AB5D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3DE9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3AFA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A5FA3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15687F5" w14:textId="77777777" w:rsidTr="00280673">
        <w:trPr>
          <w:trHeight w:val="288"/>
        </w:trPr>
        <w:tc>
          <w:tcPr>
            <w:tcW w:w="1176" w:type="dxa"/>
            <w:tcBorders>
              <w:top w:val="nil"/>
              <w:left w:val="nil"/>
              <w:bottom w:val="nil"/>
              <w:right w:val="nil"/>
            </w:tcBorders>
            <w:shd w:val="clear" w:color="auto" w:fill="auto"/>
            <w:noWrap/>
            <w:vAlign w:val="bottom"/>
            <w:hideMark/>
          </w:tcPr>
          <w:p w14:paraId="0563A8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3CAF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1EC7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E072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9C1D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1F02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C1FF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6ADA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55D1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46DA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2921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FA35A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EA4B4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A117A01" w14:textId="77777777" w:rsidTr="00280673">
        <w:trPr>
          <w:trHeight w:val="288"/>
        </w:trPr>
        <w:tc>
          <w:tcPr>
            <w:tcW w:w="1176" w:type="dxa"/>
            <w:tcBorders>
              <w:top w:val="nil"/>
              <w:left w:val="nil"/>
              <w:bottom w:val="nil"/>
              <w:right w:val="nil"/>
            </w:tcBorders>
            <w:shd w:val="clear" w:color="auto" w:fill="auto"/>
            <w:noWrap/>
            <w:vAlign w:val="bottom"/>
            <w:hideMark/>
          </w:tcPr>
          <w:p w14:paraId="2FAA9F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B378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333C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9A10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9D3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BD67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37C7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F70A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581D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7304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ECE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F88A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ED6A3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DAE5683" w14:textId="77777777" w:rsidTr="00280673">
        <w:trPr>
          <w:trHeight w:val="288"/>
        </w:trPr>
        <w:tc>
          <w:tcPr>
            <w:tcW w:w="1176" w:type="dxa"/>
            <w:tcBorders>
              <w:top w:val="nil"/>
              <w:left w:val="nil"/>
              <w:bottom w:val="nil"/>
              <w:right w:val="nil"/>
            </w:tcBorders>
            <w:shd w:val="clear" w:color="auto" w:fill="auto"/>
            <w:noWrap/>
            <w:vAlign w:val="bottom"/>
            <w:hideMark/>
          </w:tcPr>
          <w:p w14:paraId="6B825C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10F5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ABAB7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DD61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E10D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CB44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0B77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EEE5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F0F5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F9C3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CD88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0B93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22373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ADC5360" w14:textId="77777777" w:rsidTr="00280673">
        <w:trPr>
          <w:trHeight w:val="288"/>
        </w:trPr>
        <w:tc>
          <w:tcPr>
            <w:tcW w:w="1176" w:type="dxa"/>
            <w:tcBorders>
              <w:top w:val="nil"/>
              <w:left w:val="nil"/>
              <w:bottom w:val="nil"/>
              <w:right w:val="nil"/>
            </w:tcBorders>
            <w:shd w:val="clear" w:color="auto" w:fill="auto"/>
            <w:noWrap/>
            <w:vAlign w:val="bottom"/>
            <w:hideMark/>
          </w:tcPr>
          <w:p w14:paraId="4439A5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8645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2215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A584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CDA5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491A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779A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6CA1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6DBA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AB53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AF3C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A937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D2824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3F1D3AE" w14:textId="77777777" w:rsidTr="00280673">
        <w:trPr>
          <w:trHeight w:val="288"/>
        </w:trPr>
        <w:tc>
          <w:tcPr>
            <w:tcW w:w="1176" w:type="dxa"/>
            <w:tcBorders>
              <w:top w:val="nil"/>
              <w:left w:val="nil"/>
              <w:bottom w:val="nil"/>
              <w:right w:val="nil"/>
            </w:tcBorders>
            <w:shd w:val="clear" w:color="auto" w:fill="auto"/>
            <w:noWrap/>
            <w:vAlign w:val="bottom"/>
            <w:hideMark/>
          </w:tcPr>
          <w:p w14:paraId="217780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8BE3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9E32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02C4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2F48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0384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025E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FC0F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F52F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380A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EAD1A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7A29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97A71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BE4439C" w14:textId="77777777" w:rsidTr="00280673">
        <w:trPr>
          <w:trHeight w:val="288"/>
        </w:trPr>
        <w:tc>
          <w:tcPr>
            <w:tcW w:w="1176" w:type="dxa"/>
            <w:tcBorders>
              <w:top w:val="nil"/>
              <w:left w:val="nil"/>
              <w:bottom w:val="nil"/>
              <w:right w:val="nil"/>
            </w:tcBorders>
            <w:shd w:val="clear" w:color="auto" w:fill="auto"/>
            <w:noWrap/>
            <w:vAlign w:val="bottom"/>
            <w:hideMark/>
          </w:tcPr>
          <w:p w14:paraId="0F5288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3D7C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EF9F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C577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9064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67D6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A455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6E7D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CA0E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9927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9E44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B32D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DD2BC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CA8C058" w14:textId="77777777" w:rsidTr="00280673">
        <w:trPr>
          <w:trHeight w:val="288"/>
        </w:trPr>
        <w:tc>
          <w:tcPr>
            <w:tcW w:w="1176" w:type="dxa"/>
            <w:tcBorders>
              <w:top w:val="nil"/>
              <w:left w:val="nil"/>
              <w:bottom w:val="nil"/>
              <w:right w:val="nil"/>
            </w:tcBorders>
            <w:shd w:val="clear" w:color="auto" w:fill="auto"/>
            <w:noWrap/>
            <w:vAlign w:val="bottom"/>
            <w:hideMark/>
          </w:tcPr>
          <w:p w14:paraId="3F028FD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55E3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F66A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5286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064D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D91F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942A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34AD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FE10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C297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2EAC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99E7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4E51E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5583820A" w14:textId="2DF031FD" w:rsidR="00280673" w:rsidRDefault="00280673"/>
    <w:p w14:paraId="72BA7CAA" w14:textId="62B4D5FE" w:rsidR="00280673" w:rsidRDefault="00280673"/>
    <w:p w14:paraId="4E826A6F" w14:textId="4B1A73A3" w:rsidR="00280673" w:rsidRDefault="00280673"/>
    <w:p w14:paraId="50D2FED8" w14:textId="6D4DD8B6" w:rsidR="00280673" w:rsidRDefault="00280673"/>
    <w:p w14:paraId="5E7FA24B" w14:textId="4DBB4142" w:rsidR="00280673" w:rsidRDefault="00280673"/>
    <w:p w14:paraId="23C359D8" w14:textId="2354370C" w:rsidR="00280673" w:rsidRDefault="00280673"/>
    <w:p w14:paraId="70D09A87" w14:textId="23B4376C" w:rsidR="00280673" w:rsidRDefault="00280673"/>
    <w:p w14:paraId="53BEF862" w14:textId="713F4856" w:rsidR="00280673" w:rsidRDefault="00280673"/>
    <w:tbl>
      <w:tblPr>
        <w:tblpPr w:leftFromText="180" w:rightFromText="180" w:horzAnchor="margin" w:tblpXSpec="center" w:tblpY="-1116"/>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570156AF" w14:textId="77777777" w:rsidTr="00280673">
        <w:trPr>
          <w:trHeight w:val="288"/>
        </w:trPr>
        <w:tc>
          <w:tcPr>
            <w:tcW w:w="1176" w:type="dxa"/>
            <w:tcBorders>
              <w:top w:val="nil"/>
              <w:left w:val="nil"/>
              <w:bottom w:val="nil"/>
              <w:right w:val="nil"/>
            </w:tcBorders>
            <w:shd w:val="clear" w:color="auto" w:fill="auto"/>
            <w:noWrap/>
            <w:vAlign w:val="bottom"/>
            <w:hideMark/>
          </w:tcPr>
          <w:p w14:paraId="21A3FFB8" w14:textId="2326BEE1"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66432" behindDoc="0" locked="0" layoutInCell="1" allowOverlap="1" wp14:anchorId="4FE1B9DC" wp14:editId="44C3B5EB">
                  <wp:simplePos x="0" y="0"/>
                  <wp:positionH relativeFrom="column">
                    <wp:posOffset>0</wp:posOffset>
                  </wp:positionH>
                  <wp:positionV relativeFrom="paragraph">
                    <wp:posOffset>-7620</wp:posOffset>
                  </wp:positionV>
                  <wp:extent cx="7940040" cy="6233160"/>
                  <wp:effectExtent l="0" t="0" r="3810" b="15240"/>
                  <wp:wrapNone/>
                  <wp:docPr id="10" name="Chart 10">
                    <a:extLst xmlns:a="http://schemas.openxmlformats.org/drawingml/2006/main">
                      <a:ext uri="{FF2B5EF4-FFF2-40B4-BE49-F238E27FC236}">
                        <a16:creationId xmlns:a16="http://schemas.microsoft.com/office/drawing/2014/main" id="{BDC674D9-2A9F-4691-AF6C-ED8E8F4DDA38}"/>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353DF142" w14:textId="77777777">
              <w:trPr>
                <w:trHeight w:val="288"/>
                <w:tblCellSpacing w:w="0" w:type="dxa"/>
              </w:trPr>
              <w:tc>
                <w:tcPr>
                  <w:tcW w:w="960" w:type="dxa"/>
                  <w:tcBorders>
                    <w:top w:val="nil"/>
                    <w:left w:val="nil"/>
                    <w:bottom w:val="nil"/>
                    <w:right w:val="nil"/>
                  </w:tcBorders>
                  <w:shd w:val="clear" w:color="auto" w:fill="auto"/>
                  <w:noWrap/>
                  <w:vAlign w:val="bottom"/>
                  <w:hideMark/>
                </w:tcPr>
                <w:p w14:paraId="2B9604AB" w14:textId="77777777" w:rsidR="00280673" w:rsidRPr="00280673" w:rsidRDefault="00280673" w:rsidP="0079239A">
                  <w:pPr>
                    <w:framePr w:hSpace="180" w:wrap="around" w:hAnchor="margin" w:xAlign="center" w:y="-1116"/>
                    <w:spacing w:after="0" w:line="240" w:lineRule="auto"/>
                    <w:rPr>
                      <w:rFonts w:ascii="Calibri" w:eastAsia="Times New Roman" w:hAnsi="Calibri" w:cs="Calibri"/>
                      <w:color w:val="000000"/>
                    </w:rPr>
                  </w:pPr>
                </w:p>
              </w:tc>
            </w:tr>
          </w:tbl>
          <w:p w14:paraId="245D425A"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28C734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2ADA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0692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3969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990C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6E9E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D535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6BED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8E09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0B25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9F40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8C0DF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926B735" w14:textId="77777777" w:rsidTr="00280673">
        <w:trPr>
          <w:trHeight w:val="288"/>
        </w:trPr>
        <w:tc>
          <w:tcPr>
            <w:tcW w:w="1176" w:type="dxa"/>
            <w:tcBorders>
              <w:top w:val="nil"/>
              <w:left w:val="nil"/>
              <w:bottom w:val="nil"/>
              <w:right w:val="nil"/>
            </w:tcBorders>
            <w:shd w:val="clear" w:color="auto" w:fill="auto"/>
            <w:noWrap/>
            <w:vAlign w:val="bottom"/>
            <w:hideMark/>
          </w:tcPr>
          <w:p w14:paraId="696765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9F1F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7B84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9108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ECAE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E9C8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B9EE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F088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A434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71C3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5CCE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62A4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49F41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9B9F47A" w14:textId="77777777" w:rsidTr="00280673">
        <w:trPr>
          <w:trHeight w:val="288"/>
        </w:trPr>
        <w:tc>
          <w:tcPr>
            <w:tcW w:w="1176" w:type="dxa"/>
            <w:tcBorders>
              <w:top w:val="nil"/>
              <w:left w:val="nil"/>
              <w:bottom w:val="nil"/>
              <w:right w:val="nil"/>
            </w:tcBorders>
            <w:shd w:val="clear" w:color="auto" w:fill="auto"/>
            <w:noWrap/>
            <w:vAlign w:val="bottom"/>
            <w:hideMark/>
          </w:tcPr>
          <w:p w14:paraId="1D4F3F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3E24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F913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027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B479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95F3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B0D2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8F8A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BC2F9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7A55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2ED8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30DD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AE81E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11D4106" w14:textId="77777777" w:rsidTr="00280673">
        <w:trPr>
          <w:trHeight w:val="288"/>
        </w:trPr>
        <w:tc>
          <w:tcPr>
            <w:tcW w:w="1176" w:type="dxa"/>
            <w:tcBorders>
              <w:top w:val="nil"/>
              <w:left w:val="nil"/>
              <w:bottom w:val="nil"/>
              <w:right w:val="nil"/>
            </w:tcBorders>
            <w:shd w:val="clear" w:color="auto" w:fill="auto"/>
            <w:noWrap/>
            <w:vAlign w:val="bottom"/>
            <w:hideMark/>
          </w:tcPr>
          <w:p w14:paraId="5DE4AE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00CD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DFDE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7481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A90D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8468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B201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E248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FC68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3FB9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B3A6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1296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36245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8463D43" w14:textId="77777777" w:rsidTr="00280673">
        <w:trPr>
          <w:trHeight w:val="288"/>
        </w:trPr>
        <w:tc>
          <w:tcPr>
            <w:tcW w:w="1176" w:type="dxa"/>
            <w:tcBorders>
              <w:top w:val="nil"/>
              <w:left w:val="nil"/>
              <w:bottom w:val="nil"/>
              <w:right w:val="nil"/>
            </w:tcBorders>
            <w:shd w:val="clear" w:color="auto" w:fill="auto"/>
            <w:noWrap/>
            <w:vAlign w:val="bottom"/>
            <w:hideMark/>
          </w:tcPr>
          <w:p w14:paraId="1A5463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6A30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C0C7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C355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A567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86EA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CDFA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0610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B732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0D6A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C05A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584E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D2CE6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AFEAA3B" w14:textId="77777777" w:rsidTr="00280673">
        <w:trPr>
          <w:trHeight w:val="288"/>
        </w:trPr>
        <w:tc>
          <w:tcPr>
            <w:tcW w:w="1176" w:type="dxa"/>
            <w:tcBorders>
              <w:top w:val="nil"/>
              <w:left w:val="nil"/>
              <w:bottom w:val="nil"/>
              <w:right w:val="nil"/>
            </w:tcBorders>
            <w:shd w:val="clear" w:color="auto" w:fill="auto"/>
            <w:noWrap/>
            <w:vAlign w:val="bottom"/>
            <w:hideMark/>
          </w:tcPr>
          <w:p w14:paraId="09A8EB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4CAA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303D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C191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E5F2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A7C3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FA6B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F36F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FF8A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72DB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55D1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626C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E28B1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5FF3BB3" w14:textId="77777777" w:rsidTr="00280673">
        <w:trPr>
          <w:trHeight w:val="288"/>
        </w:trPr>
        <w:tc>
          <w:tcPr>
            <w:tcW w:w="1176" w:type="dxa"/>
            <w:tcBorders>
              <w:top w:val="nil"/>
              <w:left w:val="nil"/>
              <w:bottom w:val="nil"/>
              <w:right w:val="nil"/>
            </w:tcBorders>
            <w:shd w:val="clear" w:color="auto" w:fill="auto"/>
            <w:noWrap/>
            <w:vAlign w:val="bottom"/>
            <w:hideMark/>
          </w:tcPr>
          <w:p w14:paraId="66D547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2E01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F26A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E726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AFCB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1D3C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9A10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71C7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0BCA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76FD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E86E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D191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B78F3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901E38F" w14:textId="77777777" w:rsidTr="00280673">
        <w:trPr>
          <w:trHeight w:val="288"/>
        </w:trPr>
        <w:tc>
          <w:tcPr>
            <w:tcW w:w="1176" w:type="dxa"/>
            <w:tcBorders>
              <w:top w:val="nil"/>
              <w:left w:val="nil"/>
              <w:bottom w:val="nil"/>
              <w:right w:val="nil"/>
            </w:tcBorders>
            <w:shd w:val="clear" w:color="auto" w:fill="auto"/>
            <w:noWrap/>
            <w:vAlign w:val="bottom"/>
            <w:hideMark/>
          </w:tcPr>
          <w:p w14:paraId="5BA23D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272A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A72A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1B3CA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F1B3A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696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444A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D9B8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918A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772D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0E7F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4700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E07C0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B49EF11" w14:textId="77777777" w:rsidTr="00280673">
        <w:trPr>
          <w:trHeight w:val="288"/>
        </w:trPr>
        <w:tc>
          <w:tcPr>
            <w:tcW w:w="1176" w:type="dxa"/>
            <w:tcBorders>
              <w:top w:val="nil"/>
              <w:left w:val="nil"/>
              <w:bottom w:val="nil"/>
              <w:right w:val="nil"/>
            </w:tcBorders>
            <w:shd w:val="clear" w:color="auto" w:fill="auto"/>
            <w:noWrap/>
            <w:vAlign w:val="bottom"/>
            <w:hideMark/>
          </w:tcPr>
          <w:p w14:paraId="28838EC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088F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8757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36F3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2B14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AE66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B1A6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5F2E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7ECD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8D70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246C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6CE8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13EBC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3C6EA0F" w14:textId="77777777" w:rsidTr="00280673">
        <w:trPr>
          <w:trHeight w:val="288"/>
        </w:trPr>
        <w:tc>
          <w:tcPr>
            <w:tcW w:w="1176" w:type="dxa"/>
            <w:tcBorders>
              <w:top w:val="nil"/>
              <w:left w:val="nil"/>
              <w:bottom w:val="nil"/>
              <w:right w:val="nil"/>
            </w:tcBorders>
            <w:shd w:val="clear" w:color="auto" w:fill="auto"/>
            <w:noWrap/>
            <w:vAlign w:val="bottom"/>
            <w:hideMark/>
          </w:tcPr>
          <w:p w14:paraId="2E651F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7AAB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240C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F044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7104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CAE8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3B05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58A8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41A2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F796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67CD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47BC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25CA1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24107C5" w14:textId="77777777" w:rsidTr="00280673">
        <w:trPr>
          <w:trHeight w:val="288"/>
        </w:trPr>
        <w:tc>
          <w:tcPr>
            <w:tcW w:w="1176" w:type="dxa"/>
            <w:tcBorders>
              <w:top w:val="nil"/>
              <w:left w:val="nil"/>
              <w:bottom w:val="nil"/>
              <w:right w:val="nil"/>
            </w:tcBorders>
            <w:shd w:val="clear" w:color="auto" w:fill="auto"/>
            <w:noWrap/>
            <w:vAlign w:val="bottom"/>
            <w:hideMark/>
          </w:tcPr>
          <w:p w14:paraId="310E3E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867A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19B8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BDDD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ECC2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EDC3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7A5E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7FD4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077B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0E51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6441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4398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3FD0F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B586AB2" w14:textId="77777777" w:rsidTr="00280673">
        <w:trPr>
          <w:trHeight w:val="288"/>
        </w:trPr>
        <w:tc>
          <w:tcPr>
            <w:tcW w:w="1176" w:type="dxa"/>
            <w:tcBorders>
              <w:top w:val="nil"/>
              <w:left w:val="nil"/>
              <w:bottom w:val="nil"/>
              <w:right w:val="nil"/>
            </w:tcBorders>
            <w:shd w:val="clear" w:color="auto" w:fill="auto"/>
            <w:noWrap/>
            <w:vAlign w:val="bottom"/>
            <w:hideMark/>
          </w:tcPr>
          <w:p w14:paraId="43D401A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4F81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257A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D998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B7A2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D642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B046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8811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0B09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871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D153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88AB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2BFB6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8D411A1" w14:textId="77777777" w:rsidTr="00280673">
        <w:trPr>
          <w:trHeight w:val="288"/>
        </w:trPr>
        <w:tc>
          <w:tcPr>
            <w:tcW w:w="1176" w:type="dxa"/>
            <w:tcBorders>
              <w:top w:val="nil"/>
              <w:left w:val="nil"/>
              <w:bottom w:val="nil"/>
              <w:right w:val="nil"/>
            </w:tcBorders>
            <w:shd w:val="clear" w:color="auto" w:fill="auto"/>
            <w:noWrap/>
            <w:vAlign w:val="bottom"/>
            <w:hideMark/>
          </w:tcPr>
          <w:p w14:paraId="7A0205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88D4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4C70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78C4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2274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CA8A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3925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699C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A6AA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F555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E93C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C174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9E3E9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8CFC141" w14:textId="77777777" w:rsidTr="00280673">
        <w:trPr>
          <w:trHeight w:val="288"/>
        </w:trPr>
        <w:tc>
          <w:tcPr>
            <w:tcW w:w="1176" w:type="dxa"/>
            <w:tcBorders>
              <w:top w:val="nil"/>
              <w:left w:val="nil"/>
              <w:bottom w:val="nil"/>
              <w:right w:val="nil"/>
            </w:tcBorders>
            <w:shd w:val="clear" w:color="auto" w:fill="auto"/>
            <w:noWrap/>
            <w:vAlign w:val="bottom"/>
            <w:hideMark/>
          </w:tcPr>
          <w:p w14:paraId="0AB521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C3FD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F11C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EE9F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6662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E35C8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61D2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DA42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3CDF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451D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7F4C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B4410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2F90B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6AE7A97" w14:textId="77777777" w:rsidTr="00280673">
        <w:trPr>
          <w:trHeight w:val="288"/>
        </w:trPr>
        <w:tc>
          <w:tcPr>
            <w:tcW w:w="1176" w:type="dxa"/>
            <w:tcBorders>
              <w:top w:val="nil"/>
              <w:left w:val="nil"/>
              <w:bottom w:val="nil"/>
              <w:right w:val="nil"/>
            </w:tcBorders>
            <w:shd w:val="clear" w:color="auto" w:fill="auto"/>
            <w:noWrap/>
            <w:vAlign w:val="bottom"/>
            <w:hideMark/>
          </w:tcPr>
          <w:p w14:paraId="1535AF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9520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10BF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8B14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8E18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476E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70E8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9884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15CA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FE40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F254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ACEA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9EFF2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903D3CF" w14:textId="77777777" w:rsidTr="00280673">
        <w:trPr>
          <w:trHeight w:val="288"/>
        </w:trPr>
        <w:tc>
          <w:tcPr>
            <w:tcW w:w="1176" w:type="dxa"/>
            <w:tcBorders>
              <w:top w:val="nil"/>
              <w:left w:val="nil"/>
              <w:bottom w:val="nil"/>
              <w:right w:val="nil"/>
            </w:tcBorders>
            <w:shd w:val="clear" w:color="auto" w:fill="auto"/>
            <w:noWrap/>
            <w:vAlign w:val="bottom"/>
            <w:hideMark/>
          </w:tcPr>
          <w:p w14:paraId="2EA1D8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F706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B435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782A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0B479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C5F3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0FBD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F405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8D8C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5832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8921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D892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749EF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84A05C8" w14:textId="77777777" w:rsidTr="00280673">
        <w:trPr>
          <w:trHeight w:val="288"/>
        </w:trPr>
        <w:tc>
          <w:tcPr>
            <w:tcW w:w="1176" w:type="dxa"/>
            <w:tcBorders>
              <w:top w:val="nil"/>
              <w:left w:val="nil"/>
              <w:bottom w:val="nil"/>
              <w:right w:val="nil"/>
            </w:tcBorders>
            <w:shd w:val="clear" w:color="auto" w:fill="auto"/>
            <w:noWrap/>
            <w:vAlign w:val="bottom"/>
            <w:hideMark/>
          </w:tcPr>
          <w:p w14:paraId="42E170C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AFA4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34B3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E1B0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31D6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EE2A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EE13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696C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6392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E9EC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0FD1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E164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CA848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85C299B" w14:textId="77777777" w:rsidTr="00280673">
        <w:trPr>
          <w:trHeight w:val="288"/>
        </w:trPr>
        <w:tc>
          <w:tcPr>
            <w:tcW w:w="1176" w:type="dxa"/>
            <w:tcBorders>
              <w:top w:val="nil"/>
              <w:left w:val="nil"/>
              <w:bottom w:val="nil"/>
              <w:right w:val="nil"/>
            </w:tcBorders>
            <w:shd w:val="clear" w:color="auto" w:fill="auto"/>
            <w:noWrap/>
            <w:vAlign w:val="bottom"/>
            <w:hideMark/>
          </w:tcPr>
          <w:p w14:paraId="5ACC96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C906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079A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CC53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A723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09C3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B076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B5A8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0A5C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99AE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CC30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76F1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1499C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EF8B679" w14:textId="77777777" w:rsidTr="00280673">
        <w:trPr>
          <w:trHeight w:val="288"/>
        </w:trPr>
        <w:tc>
          <w:tcPr>
            <w:tcW w:w="1176" w:type="dxa"/>
            <w:tcBorders>
              <w:top w:val="nil"/>
              <w:left w:val="nil"/>
              <w:bottom w:val="nil"/>
              <w:right w:val="nil"/>
            </w:tcBorders>
            <w:shd w:val="clear" w:color="auto" w:fill="auto"/>
            <w:noWrap/>
            <w:vAlign w:val="bottom"/>
            <w:hideMark/>
          </w:tcPr>
          <w:p w14:paraId="22B4EFA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59E8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48B1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D1FF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4728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F7541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60E9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E48E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3944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0EEF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11C5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DDB3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2B877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BBF9424" w14:textId="77777777" w:rsidTr="00280673">
        <w:trPr>
          <w:trHeight w:val="288"/>
        </w:trPr>
        <w:tc>
          <w:tcPr>
            <w:tcW w:w="1176" w:type="dxa"/>
            <w:tcBorders>
              <w:top w:val="nil"/>
              <w:left w:val="nil"/>
              <w:bottom w:val="nil"/>
              <w:right w:val="nil"/>
            </w:tcBorders>
            <w:shd w:val="clear" w:color="auto" w:fill="auto"/>
            <w:noWrap/>
            <w:vAlign w:val="bottom"/>
            <w:hideMark/>
          </w:tcPr>
          <w:p w14:paraId="367D1C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B814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EDE4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5913A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54E4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C1CC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D292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4DE37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1B88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58E1C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DB18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4C20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79EE8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F965B0B" w14:textId="77777777" w:rsidTr="00280673">
        <w:trPr>
          <w:trHeight w:val="288"/>
        </w:trPr>
        <w:tc>
          <w:tcPr>
            <w:tcW w:w="1176" w:type="dxa"/>
            <w:tcBorders>
              <w:top w:val="nil"/>
              <w:left w:val="nil"/>
              <w:bottom w:val="nil"/>
              <w:right w:val="nil"/>
            </w:tcBorders>
            <w:shd w:val="clear" w:color="auto" w:fill="auto"/>
            <w:noWrap/>
            <w:vAlign w:val="bottom"/>
            <w:hideMark/>
          </w:tcPr>
          <w:p w14:paraId="5FA31B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6858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12D6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B445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CBDD5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F67BB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F3F4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EAD84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791B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20DE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FD4A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1653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7B8B2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46F6644" w14:textId="77777777" w:rsidTr="00280673">
        <w:trPr>
          <w:trHeight w:val="288"/>
        </w:trPr>
        <w:tc>
          <w:tcPr>
            <w:tcW w:w="1176" w:type="dxa"/>
            <w:tcBorders>
              <w:top w:val="nil"/>
              <w:left w:val="nil"/>
              <w:bottom w:val="nil"/>
              <w:right w:val="nil"/>
            </w:tcBorders>
            <w:shd w:val="clear" w:color="auto" w:fill="auto"/>
            <w:noWrap/>
            <w:vAlign w:val="bottom"/>
            <w:hideMark/>
          </w:tcPr>
          <w:p w14:paraId="562F82D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BB8E1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4782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62156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DC4A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1BD1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4E7C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0C02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D5A3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F919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63A2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5D5A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6B3F7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ED28603" w14:textId="77777777" w:rsidTr="00280673">
        <w:trPr>
          <w:trHeight w:val="288"/>
        </w:trPr>
        <w:tc>
          <w:tcPr>
            <w:tcW w:w="1176" w:type="dxa"/>
            <w:tcBorders>
              <w:top w:val="nil"/>
              <w:left w:val="nil"/>
              <w:bottom w:val="nil"/>
              <w:right w:val="nil"/>
            </w:tcBorders>
            <w:shd w:val="clear" w:color="auto" w:fill="auto"/>
            <w:noWrap/>
            <w:vAlign w:val="bottom"/>
            <w:hideMark/>
          </w:tcPr>
          <w:p w14:paraId="50B31F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DDF1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8164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ED52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7EA5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A819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EFA9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482E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3DDC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39160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0F73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DFDD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40BE5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EEE519C" w14:textId="77777777" w:rsidTr="00280673">
        <w:trPr>
          <w:trHeight w:val="288"/>
        </w:trPr>
        <w:tc>
          <w:tcPr>
            <w:tcW w:w="1176" w:type="dxa"/>
            <w:tcBorders>
              <w:top w:val="nil"/>
              <w:left w:val="nil"/>
              <w:bottom w:val="nil"/>
              <w:right w:val="nil"/>
            </w:tcBorders>
            <w:shd w:val="clear" w:color="auto" w:fill="auto"/>
            <w:noWrap/>
            <w:vAlign w:val="bottom"/>
            <w:hideMark/>
          </w:tcPr>
          <w:p w14:paraId="6D6C17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D61C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11FD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3EA9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07B4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AF8E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0D3F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399A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E7838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AE74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AB55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EC01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F1950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CF73E47" w14:textId="77777777" w:rsidTr="00280673">
        <w:trPr>
          <w:trHeight w:val="288"/>
        </w:trPr>
        <w:tc>
          <w:tcPr>
            <w:tcW w:w="1176" w:type="dxa"/>
            <w:tcBorders>
              <w:top w:val="nil"/>
              <w:left w:val="nil"/>
              <w:bottom w:val="nil"/>
              <w:right w:val="nil"/>
            </w:tcBorders>
            <w:shd w:val="clear" w:color="auto" w:fill="auto"/>
            <w:noWrap/>
            <w:vAlign w:val="bottom"/>
            <w:hideMark/>
          </w:tcPr>
          <w:p w14:paraId="37BD86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CB381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32E4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78CEA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9D77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FC3D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DEEF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9316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C9EB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6F5F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AD48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C9A1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34ADA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E566DC5" w14:textId="77777777" w:rsidTr="00280673">
        <w:trPr>
          <w:trHeight w:val="288"/>
        </w:trPr>
        <w:tc>
          <w:tcPr>
            <w:tcW w:w="1176" w:type="dxa"/>
            <w:tcBorders>
              <w:top w:val="nil"/>
              <w:left w:val="nil"/>
              <w:bottom w:val="nil"/>
              <w:right w:val="nil"/>
            </w:tcBorders>
            <w:shd w:val="clear" w:color="auto" w:fill="auto"/>
            <w:noWrap/>
            <w:vAlign w:val="bottom"/>
            <w:hideMark/>
          </w:tcPr>
          <w:p w14:paraId="141D1CB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E42FA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055E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0D1A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D037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F18F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0B73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5A989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9BCC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0D35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BB4A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2482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A22AF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14CA7FD" w14:textId="77777777" w:rsidTr="00280673">
        <w:trPr>
          <w:trHeight w:val="288"/>
        </w:trPr>
        <w:tc>
          <w:tcPr>
            <w:tcW w:w="1176" w:type="dxa"/>
            <w:tcBorders>
              <w:top w:val="nil"/>
              <w:left w:val="nil"/>
              <w:bottom w:val="nil"/>
              <w:right w:val="nil"/>
            </w:tcBorders>
            <w:shd w:val="clear" w:color="auto" w:fill="auto"/>
            <w:noWrap/>
            <w:vAlign w:val="bottom"/>
            <w:hideMark/>
          </w:tcPr>
          <w:p w14:paraId="24BDC8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C591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7D78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7C744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8536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824E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12BBA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B551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00B9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DB4D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4A93E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1823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22ACD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AC87430" w14:textId="77777777" w:rsidTr="00280673">
        <w:trPr>
          <w:trHeight w:val="288"/>
        </w:trPr>
        <w:tc>
          <w:tcPr>
            <w:tcW w:w="1176" w:type="dxa"/>
            <w:tcBorders>
              <w:top w:val="nil"/>
              <w:left w:val="nil"/>
              <w:bottom w:val="nil"/>
              <w:right w:val="nil"/>
            </w:tcBorders>
            <w:shd w:val="clear" w:color="auto" w:fill="auto"/>
            <w:noWrap/>
            <w:vAlign w:val="bottom"/>
            <w:hideMark/>
          </w:tcPr>
          <w:p w14:paraId="04D57B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EF37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2E93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CBA7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F1FE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B0EA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2E73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0858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804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4D31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6712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4295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5C5F8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6D47DA8" w14:textId="77777777" w:rsidTr="00280673">
        <w:trPr>
          <w:trHeight w:val="288"/>
        </w:trPr>
        <w:tc>
          <w:tcPr>
            <w:tcW w:w="1176" w:type="dxa"/>
            <w:tcBorders>
              <w:top w:val="nil"/>
              <w:left w:val="nil"/>
              <w:bottom w:val="nil"/>
              <w:right w:val="nil"/>
            </w:tcBorders>
            <w:shd w:val="clear" w:color="auto" w:fill="auto"/>
            <w:noWrap/>
            <w:vAlign w:val="bottom"/>
            <w:hideMark/>
          </w:tcPr>
          <w:p w14:paraId="671E22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145E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8C1D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5A1C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0C16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C664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FA9B2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1FD88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C1877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766E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CD7C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3F78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0102C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F0634DD" w14:textId="77777777" w:rsidTr="00280673">
        <w:trPr>
          <w:trHeight w:val="288"/>
        </w:trPr>
        <w:tc>
          <w:tcPr>
            <w:tcW w:w="1176" w:type="dxa"/>
            <w:tcBorders>
              <w:top w:val="nil"/>
              <w:left w:val="nil"/>
              <w:bottom w:val="nil"/>
              <w:right w:val="nil"/>
            </w:tcBorders>
            <w:shd w:val="clear" w:color="auto" w:fill="auto"/>
            <w:noWrap/>
            <w:vAlign w:val="bottom"/>
            <w:hideMark/>
          </w:tcPr>
          <w:p w14:paraId="00E58F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BBB9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BE29F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5B93D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42B0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7057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EC40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7B11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52D37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8774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7B8E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15DF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234B23"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693A9A3" w14:textId="77777777" w:rsidTr="00280673">
        <w:trPr>
          <w:trHeight w:val="288"/>
        </w:trPr>
        <w:tc>
          <w:tcPr>
            <w:tcW w:w="1176" w:type="dxa"/>
            <w:tcBorders>
              <w:top w:val="nil"/>
              <w:left w:val="nil"/>
              <w:bottom w:val="nil"/>
              <w:right w:val="nil"/>
            </w:tcBorders>
            <w:shd w:val="clear" w:color="auto" w:fill="auto"/>
            <w:noWrap/>
            <w:vAlign w:val="bottom"/>
            <w:hideMark/>
          </w:tcPr>
          <w:p w14:paraId="4C26D0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0BB4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2B4BC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0764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9C78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B5B3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C2AA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2477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12F45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3578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4DD2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98A85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7EFBE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1D7FE5D" w14:textId="77777777" w:rsidTr="00280673">
        <w:trPr>
          <w:trHeight w:val="288"/>
        </w:trPr>
        <w:tc>
          <w:tcPr>
            <w:tcW w:w="1176" w:type="dxa"/>
            <w:tcBorders>
              <w:top w:val="nil"/>
              <w:left w:val="nil"/>
              <w:bottom w:val="nil"/>
              <w:right w:val="nil"/>
            </w:tcBorders>
            <w:shd w:val="clear" w:color="auto" w:fill="auto"/>
            <w:noWrap/>
            <w:vAlign w:val="bottom"/>
            <w:hideMark/>
          </w:tcPr>
          <w:p w14:paraId="09DF93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23D16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2679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2124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93C8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7A46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FF62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75FDC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9529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75A4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24D50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0D631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9FDC6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478825F" w14:textId="77777777" w:rsidTr="00280673">
        <w:trPr>
          <w:trHeight w:val="288"/>
        </w:trPr>
        <w:tc>
          <w:tcPr>
            <w:tcW w:w="1176" w:type="dxa"/>
            <w:tcBorders>
              <w:top w:val="nil"/>
              <w:left w:val="nil"/>
              <w:bottom w:val="nil"/>
              <w:right w:val="nil"/>
            </w:tcBorders>
            <w:shd w:val="clear" w:color="auto" w:fill="auto"/>
            <w:noWrap/>
            <w:vAlign w:val="bottom"/>
            <w:hideMark/>
          </w:tcPr>
          <w:p w14:paraId="16461B8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9B4A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7BB6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0659F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B633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F57A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65A7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CB10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34F2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40A4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E561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D0B7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17E9F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78720B5" w14:textId="77777777" w:rsidTr="00280673">
        <w:trPr>
          <w:trHeight w:val="288"/>
        </w:trPr>
        <w:tc>
          <w:tcPr>
            <w:tcW w:w="1176" w:type="dxa"/>
            <w:tcBorders>
              <w:top w:val="nil"/>
              <w:left w:val="nil"/>
              <w:bottom w:val="nil"/>
              <w:right w:val="nil"/>
            </w:tcBorders>
            <w:shd w:val="clear" w:color="auto" w:fill="auto"/>
            <w:noWrap/>
            <w:vAlign w:val="bottom"/>
            <w:hideMark/>
          </w:tcPr>
          <w:p w14:paraId="7E2E73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06023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906C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A9AB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25BA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7648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B8C0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AE50D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5FB5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BDED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5F82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19DF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9EA75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23C709A6" w14:textId="75CC8BAC" w:rsidR="00280673" w:rsidRDefault="00280673"/>
    <w:p w14:paraId="431739D9" w14:textId="76384517" w:rsidR="00280673" w:rsidRDefault="00280673"/>
    <w:p w14:paraId="67BF80EF" w14:textId="627C9EAA" w:rsidR="00280673" w:rsidRDefault="00280673"/>
    <w:p w14:paraId="61DFCBCD" w14:textId="4F1684DC" w:rsidR="00280673" w:rsidRDefault="00280673"/>
    <w:p w14:paraId="2DF3D25A" w14:textId="7C3E128C" w:rsidR="00280673" w:rsidRDefault="00280673"/>
    <w:p w14:paraId="745A6DC2" w14:textId="3E63C5B9" w:rsidR="00280673" w:rsidRDefault="00280673"/>
    <w:p w14:paraId="14A526E5" w14:textId="04C8378B" w:rsidR="00280673" w:rsidRDefault="00280673"/>
    <w:p w14:paraId="100788AB" w14:textId="711E0F93" w:rsidR="00280673" w:rsidRDefault="00280673"/>
    <w:tbl>
      <w:tblPr>
        <w:tblpPr w:leftFromText="180" w:rightFromText="180" w:horzAnchor="margin" w:tblpXSpec="center" w:tblpY="-1236"/>
        <w:tblW w:w="12888"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280673" w:rsidRPr="00280673" w14:paraId="50FC61AE" w14:textId="77777777" w:rsidTr="00280673">
        <w:trPr>
          <w:trHeight w:val="288"/>
        </w:trPr>
        <w:tc>
          <w:tcPr>
            <w:tcW w:w="1176" w:type="dxa"/>
            <w:tcBorders>
              <w:top w:val="nil"/>
              <w:left w:val="nil"/>
              <w:bottom w:val="nil"/>
              <w:right w:val="nil"/>
            </w:tcBorders>
            <w:shd w:val="clear" w:color="auto" w:fill="auto"/>
            <w:noWrap/>
            <w:vAlign w:val="bottom"/>
            <w:hideMark/>
          </w:tcPr>
          <w:p w14:paraId="7B605EFA" w14:textId="1BF50CD2" w:rsidR="00280673" w:rsidRPr="00280673" w:rsidRDefault="00280673" w:rsidP="00280673">
            <w:pPr>
              <w:spacing w:after="0" w:line="240" w:lineRule="auto"/>
              <w:rPr>
                <w:rFonts w:ascii="Calibri" w:eastAsia="Times New Roman" w:hAnsi="Calibri" w:cs="Calibri"/>
                <w:color w:val="000000"/>
              </w:rPr>
            </w:pPr>
            <w:r w:rsidRPr="00280673">
              <w:rPr>
                <w:rFonts w:ascii="Calibri" w:eastAsia="Times New Roman" w:hAnsi="Calibri" w:cs="Calibri"/>
                <w:noProof/>
                <w:color w:val="000000"/>
              </w:rPr>
              <w:drawing>
                <wp:anchor distT="0" distB="0" distL="114300" distR="114300" simplePos="0" relativeHeight="251668480" behindDoc="0" locked="0" layoutInCell="1" allowOverlap="1" wp14:anchorId="10BE9B81" wp14:editId="6BB1B837">
                  <wp:simplePos x="0" y="0"/>
                  <wp:positionH relativeFrom="column">
                    <wp:posOffset>0</wp:posOffset>
                  </wp:positionH>
                  <wp:positionV relativeFrom="paragraph">
                    <wp:posOffset>-7620</wp:posOffset>
                  </wp:positionV>
                  <wp:extent cx="7940040" cy="6240780"/>
                  <wp:effectExtent l="0" t="0" r="3810" b="7620"/>
                  <wp:wrapNone/>
                  <wp:docPr id="11" name="Chart 11">
                    <a:extLst xmlns:a="http://schemas.openxmlformats.org/drawingml/2006/main">
                      <a:ext uri="{FF2B5EF4-FFF2-40B4-BE49-F238E27FC236}">
                        <a16:creationId xmlns:a16="http://schemas.microsoft.com/office/drawing/2014/main" id="{D0BDFA59-1C4F-4867-A076-964913343B9E}"/>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0673" w:rsidRPr="00280673" w14:paraId="21EB8C08" w14:textId="77777777">
              <w:trPr>
                <w:trHeight w:val="288"/>
                <w:tblCellSpacing w:w="0" w:type="dxa"/>
              </w:trPr>
              <w:tc>
                <w:tcPr>
                  <w:tcW w:w="960" w:type="dxa"/>
                  <w:tcBorders>
                    <w:top w:val="nil"/>
                    <w:left w:val="nil"/>
                    <w:bottom w:val="nil"/>
                    <w:right w:val="nil"/>
                  </w:tcBorders>
                  <w:shd w:val="clear" w:color="auto" w:fill="auto"/>
                  <w:noWrap/>
                  <w:vAlign w:val="bottom"/>
                  <w:hideMark/>
                </w:tcPr>
                <w:p w14:paraId="3B28A916" w14:textId="77777777" w:rsidR="00280673" w:rsidRPr="00280673" w:rsidRDefault="00280673" w:rsidP="0079239A">
                  <w:pPr>
                    <w:framePr w:hSpace="180" w:wrap="around" w:hAnchor="margin" w:xAlign="center" w:y="-1236"/>
                    <w:spacing w:after="0" w:line="240" w:lineRule="auto"/>
                    <w:rPr>
                      <w:rFonts w:ascii="Calibri" w:eastAsia="Times New Roman" w:hAnsi="Calibri" w:cs="Calibri"/>
                      <w:color w:val="000000"/>
                    </w:rPr>
                  </w:pPr>
                </w:p>
              </w:tc>
            </w:tr>
          </w:tbl>
          <w:p w14:paraId="6467DCFB" w14:textId="77777777" w:rsidR="00280673" w:rsidRPr="00280673" w:rsidRDefault="00280673" w:rsidP="00280673">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7F956D5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915D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A9CF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8A16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95A9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951A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2C29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335E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B4FB4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19783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2595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D78AF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6F6A543" w14:textId="77777777" w:rsidTr="00280673">
        <w:trPr>
          <w:trHeight w:val="288"/>
        </w:trPr>
        <w:tc>
          <w:tcPr>
            <w:tcW w:w="1176" w:type="dxa"/>
            <w:tcBorders>
              <w:top w:val="nil"/>
              <w:left w:val="nil"/>
              <w:bottom w:val="nil"/>
              <w:right w:val="nil"/>
            </w:tcBorders>
            <w:shd w:val="clear" w:color="auto" w:fill="auto"/>
            <w:noWrap/>
            <w:vAlign w:val="bottom"/>
            <w:hideMark/>
          </w:tcPr>
          <w:p w14:paraId="7D3C32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6DB7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2B51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E6EC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1DC6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503A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DC45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54A4B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3F83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A6A33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D083D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5FC46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FE545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7FD99C6" w14:textId="77777777" w:rsidTr="00280673">
        <w:trPr>
          <w:trHeight w:val="288"/>
        </w:trPr>
        <w:tc>
          <w:tcPr>
            <w:tcW w:w="1176" w:type="dxa"/>
            <w:tcBorders>
              <w:top w:val="nil"/>
              <w:left w:val="nil"/>
              <w:bottom w:val="nil"/>
              <w:right w:val="nil"/>
            </w:tcBorders>
            <w:shd w:val="clear" w:color="auto" w:fill="auto"/>
            <w:noWrap/>
            <w:vAlign w:val="bottom"/>
            <w:hideMark/>
          </w:tcPr>
          <w:p w14:paraId="7F2EC76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A42F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B2C8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B96FE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07E3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A761F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659F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B778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8E7E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93531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E84D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ED9E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DC6AE5"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F6BC3C3" w14:textId="77777777" w:rsidTr="00280673">
        <w:trPr>
          <w:trHeight w:val="288"/>
        </w:trPr>
        <w:tc>
          <w:tcPr>
            <w:tcW w:w="1176" w:type="dxa"/>
            <w:tcBorders>
              <w:top w:val="nil"/>
              <w:left w:val="nil"/>
              <w:bottom w:val="nil"/>
              <w:right w:val="nil"/>
            </w:tcBorders>
            <w:shd w:val="clear" w:color="auto" w:fill="auto"/>
            <w:noWrap/>
            <w:vAlign w:val="bottom"/>
            <w:hideMark/>
          </w:tcPr>
          <w:p w14:paraId="37011E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0802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4B58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9494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0DDA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8846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F5119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B144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A9FA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EE06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796B2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106B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004BE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6A63344" w14:textId="77777777" w:rsidTr="00280673">
        <w:trPr>
          <w:trHeight w:val="288"/>
        </w:trPr>
        <w:tc>
          <w:tcPr>
            <w:tcW w:w="1176" w:type="dxa"/>
            <w:tcBorders>
              <w:top w:val="nil"/>
              <w:left w:val="nil"/>
              <w:bottom w:val="nil"/>
              <w:right w:val="nil"/>
            </w:tcBorders>
            <w:shd w:val="clear" w:color="auto" w:fill="auto"/>
            <w:noWrap/>
            <w:vAlign w:val="bottom"/>
            <w:hideMark/>
          </w:tcPr>
          <w:p w14:paraId="444205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DBD9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3E5BD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5547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A20D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DA4C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AD73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3C52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2577A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6BDF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69A3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B1CD8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2662B9"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7994FA2" w14:textId="77777777" w:rsidTr="00280673">
        <w:trPr>
          <w:trHeight w:val="288"/>
        </w:trPr>
        <w:tc>
          <w:tcPr>
            <w:tcW w:w="1176" w:type="dxa"/>
            <w:tcBorders>
              <w:top w:val="nil"/>
              <w:left w:val="nil"/>
              <w:bottom w:val="nil"/>
              <w:right w:val="nil"/>
            </w:tcBorders>
            <w:shd w:val="clear" w:color="auto" w:fill="auto"/>
            <w:noWrap/>
            <w:vAlign w:val="bottom"/>
            <w:hideMark/>
          </w:tcPr>
          <w:p w14:paraId="41098C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581C3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3F7D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C4BD2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982A5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9D7B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8DA4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D9BA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C8BE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54044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3497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A1C1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7EDAB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5B48577" w14:textId="77777777" w:rsidTr="00280673">
        <w:trPr>
          <w:trHeight w:val="288"/>
        </w:trPr>
        <w:tc>
          <w:tcPr>
            <w:tcW w:w="1176" w:type="dxa"/>
            <w:tcBorders>
              <w:top w:val="nil"/>
              <w:left w:val="nil"/>
              <w:bottom w:val="nil"/>
              <w:right w:val="nil"/>
            </w:tcBorders>
            <w:shd w:val="clear" w:color="auto" w:fill="auto"/>
            <w:noWrap/>
            <w:vAlign w:val="bottom"/>
            <w:hideMark/>
          </w:tcPr>
          <w:p w14:paraId="2F90D9B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FC0B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56FF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90B2B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24D5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0DFA9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5416E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005D4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0795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005E5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302A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EC12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860681"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56723A7" w14:textId="77777777" w:rsidTr="00280673">
        <w:trPr>
          <w:trHeight w:val="288"/>
        </w:trPr>
        <w:tc>
          <w:tcPr>
            <w:tcW w:w="1176" w:type="dxa"/>
            <w:tcBorders>
              <w:top w:val="nil"/>
              <w:left w:val="nil"/>
              <w:bottom w:val="nil"/>
              <w:right w:val="nil"/>
            </w:tcBorders>
            <w:shd w:val="clear" w:color="auto" w:fill="auto"/>
            <w:noWrap/>
            <w:vAlign w:val="bottom"/>
            <w:hideMark/>
          </w:tcPr>
          <w:p w14:paraId="1970F0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D21E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EC83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7662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B0FC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C4EC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BB8A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BCF0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65E0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751C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D27A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7C43F3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BA8AA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74F7B05" w14:textId="77777777" w:rsidTr="00280673">
        <w:trPr>
          <w:trHeight w:val="288"/>
        </w:trPr>
        <w:tc>
          <w:tcPr>
            <w:tcW w:w="1176" w:type="dxa"/>
            <w:tcBorders>
              <w:top w:val="nil"/>
              <w:left w:val="nil"/>
              <w:bottom w:val="nil"/>
              <w:right w:val="nil"/>
            </w:tcBorders>
            <w:shd w:val="clear" w:color="auto" w:fill="auto"/>
            <w:noWrap/>
            <w:vAlign w:val="bottom"/>
            <w:hideMark/>
          </w:tcPr>
          <w:p w14:paraId="70CFB3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3876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30AA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0B8E0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53B1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D7EAF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5E177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B715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B672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6460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DF2C2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AE1F5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F670B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A9043B5" w14:textId="77777777" w:rsidTr="00280673">
        <w:trPr>
          <w:trHeight w:val="288"/>
        </w:trPr>
        <w:tc>
          <w:tcPr>
            <w:tcW w:w="1176" w:type="dxa"/>
            <w:tcBorders>
              <w:top w:val="nil"/>
              <w:left w:val="nil"/>
              <w:bottom w:val="nil"/>
              <w:right w:val="nil"/>
            </w:tcBorders>
            <w:shd w:val="clear" w:color="auto" w:fill="auto"/>
            <w:noWrap/>
            <w:vAlign w:val="bottom"/>
            <w:hideMark/>
          </w:tcPr>
          <w:p w14:paraId="7F2F34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FB099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ACF2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D850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8712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D307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DEF6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B499F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82D8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BEE66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9A8F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9171D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C9E62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B145366" w14:textId="77777777" w:rsidTr="00280673">
        <w:trPr>
          <w:trHeight w:val="288"/>
        </w:trPr>
        <w:tc>
          <w:tcPr>
            <w:tcW w:w="1176" w:type="dxa"/>
            <w:tcBorders>
              <w:top w:val="nil"/>
              <w:left w:val="nil"/>
              <w:bottom w:val="nil"/>
              <w:right w:val="nil"/>
            </w:tcBorders>
            <w:shd w:val="clear" w:color="auto" w:fill="auto"/>
            <w:noWrap/>
            <w:vAlign w:val="bottom"/>
            <w:hideMark/>
          </w:tcPr>
          <w:p w14:paraId="1B825E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62F1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D6EA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EC43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E348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5A53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44E37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D6A3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52B3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B3014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43E9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53CB5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ACAA76"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C3CEB4C" w14:textId="77777777" w:rsidTr="00280673">
        <w:trPr>
          <w:trHeight w:val="288"/>
        </w:trPr>
        <w:tc>
          <w:tcPr>
            <w:tcW w:w="1176" w:type="dxa"/>
            <w:tcBorders>
              <w:top w:val="nil"/>
              <w:left w:val="nil"/>
              <w:bottom w:val="nil"/>
              <w:right w:val="nil"/>
            </w:tcBorders>
            <w:shd w:val="clear" w:color="auto" w:fill="auto"/>
            <w:noWrap/>
            <w:vAlign w:val="bottom"/>
            <w:hideMark/>
          </w:tcPr>
          <w:p w14:paraId="45D044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E0B1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F9DA8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42067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FF33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57B8B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5744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EB45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E1B3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C1290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4FAA6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49792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BA96E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C8CA22A" w14:textId="77777777" w:rsidTr="00280673">
        <w:trPr>
          <w:trHeight w:val="288"/>
        </w:trPr>
        <w:tc>
          <w:tcPr>
            <w:tcW w:w="1176" w:type="dxa"/>
            <w:tcBorders>
              <w:top w:val="nil"/>
              <w:left w:val="nil"/>
              <w:bottom w:val="nil"/>
              <w:right w:val="nil"/>
            </w:tcBorders>
            <w:shd w:val="clear" w:color="auto" w:fill="auto"/>
            <w:noWrap/>
            <w:vAlign w:val="bottom"/>
            <w:hideMark/>
          </w:tcPr>
          <w:p w14:paraId="081B9D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7037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1D40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4DE44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3B66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C5625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5AC1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B79A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BEF65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FC96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27CB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A698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3FF450"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4A15BFC" w14:textId="77777777" w:rsidTr="00280673">
        <w:trPr>
          <w:trHeight w:val="288"/>
        </w:trPr>
        <w:tc>
          <w:tcPr>
            <w:tcW w:w="1176" w:type="dxa"/>
            <w:tcBorders>
              <w:top w:val="nil"/>
              <w:left w:val="nil"/>
              <w:bottom w:val="nil"/>
              <w:right w:val="nil"/>
            </w:tcBorders>
            <w:shd w:val="clear" w:color="auto" w:fill="auto"/>
            <w:noWrap/>
            <w:vAlign w:val="bottom"/>
            <w:hideMark/>
          </w:tcPr>
          <w:p w14:paraId="7A35FD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5A35D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CFAE6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627B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2BFE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E1ED0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4FEDF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68887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496EB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284E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4CC27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CCF9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7DBBF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EF4050C" w14:textId="77777777" w:rsidTr="00280673">
        <w:trPr>
          <w:trHeight w:val="288"/>
        </w:trPr>
        <w:tc>
          <w:tcPr>
            <w:tcW w:w="1176" w:type="dxa"/>
            <w:tcBorders>
              <w:top w:val="nil"/>
              <w:left w:val="nil"/>
              <w:bottom w:val="nil"/>
              <w:right w:val="nil"/>
            </w:tcBorders>
            <w:shd w:val="clear" w:color="auto" w:fill="auto"/>
            <w:noWrap/>
            <w:vAlign w:val="bottom"/>
            <w:hideMark/>
          </w:tcPr>
          <w:p w14:paraId="3D5297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7EA83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08EE8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B448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40CB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BC4A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74E23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16B5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35AD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5D3E7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73293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5941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40EDE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B442DA4" w14:textId="77777777" w:rsidTr="00280673">
        <w:trPr>
          <w:trHeight w:val="288"/>
        </w:trPr>
        <w:tc>
          <w:tcPr>
            <w:tcW w:w="1176" w:type="dxa"/>
            <w:tcBorders>
              <w:top w:val="nil"/>
              <w:left w:val="nil"/>
              <w:bottom w:val="nil"/>
              <w:right w:val="nil"/>
            </w:tcBorders>
            <w:shd w:val="clear" w:color="auto" w:fill="auto"/>
            <w:noWrap/>
            <w:vAlign w:val="bottom"/>
            <w:hideMark/>
          </w:tcPr>
          <w:p w14:paraId="02726B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9065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92DA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C54ED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6E679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8821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7582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0F963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03B4A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35FB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107E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5C1EA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58DDD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AA89A97" w14:textId="77777777" w:rsidTr="00280673">
        <w:trPr>
          <w:trHeight w:val="288"/>
        </w:trPr>
        <w:tc>
          <w:tcPr>
            <w:tcW w:w="1176" w:type="dxa"/>
            <w:tcBorders>
              <w:top w:val="nil"/>
              <w:left w:val="nil"/>
              <w:bottom w:val="nil"/>
              <w:right w:val="nil"/>
            </w:tcBorders>
            <w:shd w:val="clear" w:color="auto" w:fill="auto"/>
            <w:noWrap/>
            <w:vAlign w:val="bottom"/>
            <w:hideMark/>
          </w:tcPr>
          <w:p w14:paraId="1197DC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DFA3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8876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32EE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E4A35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5A7F1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CB85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C103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9E5B7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28C7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8A3F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ADA71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EF915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AC5C8E7" w14:textId="77777777" w:rsidTr="00280673">
        <w:trPr>
          <w:trHeight w:val="288"/>
        </w:trPr>
        <w:tc>
          <w:tcPr>
            <w:tcW w:w="1176" w:type="dxa"/>
            <w:tcBorders>
              <w:top w:val="nil"/>
              <w:left w:val="nil"/>
              <w:bottom w:val="nil"/>
              <w:right w:val="nil"/>
            </w:tcBorders>
            <w:shd w:val="clear" w:color="auto" w:fill="auto"/>
            <w:noWrap/>
            <w:vAlign w:val="bottom"/>
            <w:hideMark/>
          </w:tcPr>
          <w:p w14:paraId="713F6B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145C0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1AEE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2E384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33241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FD38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625A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4980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E365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AC62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4536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4B0A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DEC8A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08F55BA" w14:textId="77777777" w:rsidTr="00280673">
        <w:trPr>
          <w:trHeight w:val="288"/>
        </w:trPr>
        <w:tc>
          <w:tcPr>
            <w:tcW w:w="1176" w:type="dxa"/>
            <w:tcBorders>
              <w:top w:val="nil"/>
              <w:left w:val="nil"/>
              <w:bottom w:val="nil"/>
              <w:right w:val="nil"/>
            </w:tcBorders>
            <w:shd w:val="clear" w:color="auto" w:fill="auto"/>
            <w:noWrap/>
            <w:vAlign w:val="bottom"/>
            <w:hideMark/>
          </w:tcPr>
          <w:p w14:paraId="30B90B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0A696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7B19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8164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FF59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11916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03D94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B2A5B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8B8D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AD5C6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BF54C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2443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3738EB"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9E56FDB" w14:textId="77777777" w:rsidTr="00280673">
        <w:trPr>
          <w:trHeight w:val="288"/>
        </w:trPr>
        <w:tc>
          <w:tcPr>
            <w:tcW w:w="1176" w:type="dxa"/>
            <w:tcBorders>
              <w:top w:val="nil"/>
              <w:left w:val="nil"/>
              <w:bottom w:val="nil"/>
              <w:right w:val="nil"/>
            </w:tcBorders>
            <w:shd w:val="clear" w:color="auto" w:fill="auto"/>
            <w:noWrap/>
            <w:vAlign w:val="bottom"/>
            <w:hideMark/>
          </w:tcPr>
          <w:p w14:paraId="75D8AFE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E17AB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2D050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2611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827A3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9756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E0B03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D45E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47D8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4CFB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51F9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4E1D5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D3E42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666C9D8" w14:textId="77777777" w:rsidTr="00280673">
        <w:trPr>
          <w:trHeight w:val="288"/>
        </w:trPr>
        <w:tc>
          <w:tcPr>
            <w:tcW w:w="1176" w:type="dxa"/>
            <w:tcBorders>
              <w:top w:val="nil"/>
              <w:left w:val="nil"/>
              <w:bottom w:val="nil"/>
              <w:right w:val="nil"/>
            </w:tcBorders>
            <w:shd w:val="clear" w:color="auto" w:fill="auto"/>
            <w:noWrap/>
            <w:vAlign w:val="bottom"/>
            <w:hideMark/>
          </w:tcPr>
          <w:p w14:paraId="220118C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20333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59327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F22A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672B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0A608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4F6B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1A0A8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127F2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A42D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853F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E847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FEA0A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3712B73B" w14:textId="77777777" w:rsidTr="00280673">
        <w:trPr>
          <w:trHeight w:val="288"/>
        </w:trPr>
        <w:tc>
          <w:tcPr>
            <w:tcW w:w="1176" w:type="dxa"/>
            <w:tcBorders>
              <w:top w:val="nil"/>
              <w:left w:val="nil"/>
              <w:bottom w:val="nil"/>
              <w:right w:val="nil"/>
            </w:tcBorders>
            <w:shd w:val="clear" w:color="auto" w:fill="auto"/>
            <w:noWrap/>
            <w:vAlign w:val="bottom"/>
            <w:hideMark/>
          </w:tcPr>
          <w:p w14:paraId="005A11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601C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4172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DC3E1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4704F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97822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68F2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18D00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F26BD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20379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01EB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B973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9B6F8A"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399EBCD" w14:textId="77777777" w:rsidTr="00280673">
        <w:trPr>
          <w:trHeight w:val="288"/>
        </w:trPr>
        <w:tc>
          <w:tcPr>
            <w:tcW w:w="1176" w:type="dxa"/>
            <w:tcBorders>
              <w:top w:val="nil"/>
              <w:left w:val="nil"/>
              <w:bottom w:val="nil"/>
              <w:right w:val="nil"/>
            </w:tcBorders>
            <w:shd w:val="clear" w:color="auto" w:fill="auto"/>
            <w:noWrap/>
            <w:vAlign w:val="bottom"/>
            <w:hideMark/>
          </w:tcPr>
          <w:p w14:paraId="640C31D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E001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A799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C1F7F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52DF2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47B0E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59C68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21657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3E19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649E0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0FA00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7A0CF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4F7DC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D9A89BF" w14:textId="77777777" w:rsidTr="00280673">
        <w:trPr>
          <w:trHeight w:val="288"/>
        </w:trPr>
        <w:tc>
          <w:tcPr>
            <w:tcW w:w="1176" w:type="dxa"/>
            <w:tcBorders>
              <w:top w:val="nil"/>
              <w:left w:val="nil"/>
              <w:bottom w:val="nil"/>
              <w:right w:val="nil"/>
            </w:tcBorders>
            <w:shd w:val="clear" w:color="auto" w:fill="auto"/>
            <w:noWrap/>
            <w:vAlign w:val="bottom"/>
            <w:hideMark/>
          </w:tcPr>
          <w:p w14:paraId="02F7F88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054F5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C0CA3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199CA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9ABCB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472F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FC95E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0E9BC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7BD0C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04485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571AD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ADE5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44847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C0AA11B" w14:textId="77777777" w:rsidTr="00280673">
        <w:trPr>
          <w:trHeight w:val="288"/>
        </w:trPr>
        <w:tc>
          <w:tcPr>
            <w:tcW w:w="1176" w:type="dxa"/>
            <w:tcBorders>
              <w:top w:val="nil"/>
              <w:left w:val="nil"/>
              <w:bottom w:val="nil"/>
              <w:right w:val="nil"/>
            </w:tcBorders>
            <w:shd w:val="clear" w:color="auto" w:fill="auto"/>
            <w:noWrap/>
            <w:vAlign w:val="bottom"/>
            <w:hideMark/>
          </w:tcPr>
          <w:p w14:paraId="7CA326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1910F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AC967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E16338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C438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AC31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E0A3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E35DF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996BE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CE6C2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17836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182C6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6D4C08"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AD29334" w14:textId="77777777" w:rsidTr="00280673">
        <w:trPr>
          <w:trHeight w:val="288"/>
        </w:trPr>
        <w:tc>
          <w:tcPr>
            <w:tcW w:w="1176" w:type="dxa"/>
            <w:tcBorders>
              <w:top w:val="nil"/>
              <w:left w:val="nil"/>
              <w:bottom w:val="nil"/>
              <w:right w:val="nil"/>
            </w:tcBorders>
            <w:shd w:val="clear" w:color="auto" w:fill="auto"/>
            <w:noWrap/>
            <w:vAlign w:val="bottom"/>
            <w:hideMark/>
          </w:tcPr>
          <w:p w14:paraId="0ED3464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3ADCF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3CCAA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371BF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39C9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EF232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240F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837D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65A97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722578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858DA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98C3F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A2DBAF"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1323054E" w14:textId="77777777" w:rsidTr="00280673">
        <w:trPr>
          <w:trHeight w:val="288"/>
        </w:trPr>
        <w:tc>
          <w:tcPr>
            <w:tcW w:w="1176" w:type="dxa"/>
            <w:tcBorders>
              <w:top w:val="nil"/>
              <w:left w:val="nil"/>
              <w:bottom w:val="nil"/>
              <w:right w:val="nil"/>
            </w:tcBorders>
            <w:shd w:val="clear" w:color="auto" w:fill="auto"/>
            <w:noWrap/>
            <w:vAlign w:val="bottom"/>
            <w:hideMark/>
          </w:tcPr>
          <w:p w14:paraId="6B6608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5E5C4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079EA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65E851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23EF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97056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B6996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27061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170E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F531E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871DD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9095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B7B18C"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A75577A" w14:textId="77777777" w:rsidTr="00280673">
        <w:trPr>
          <w:trHeight w:val="288"/>
        </w:trPr>
        <w:tc>
          <w:tcPr>
            <w:tcW w:w="1176" w:type="dxa"/>
            <w:tcBorders>
              <w:top w:val="nil"/>
              <w:left w:val="nil"/>
              <w:bottom w:val="nil"/>
              <w:right w:val="nil"/>
            </w:tcBorders>
            <w:shd w:val="clear" w:color="auto" w:fill="auto"/>
            <w:noWrap/>
            <w:vAlign w:val="bottom"/>
            <w:hideMark/>
          </w:tcPr>
          <w:p w14:paraId="418F32B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9964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BEFF3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52FDF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E68E2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E9483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7832C3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44C89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D158E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4C410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6687D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766A9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AE33BA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2CDA439F" w14:textId="77777777" w:rsidTr="00280673">
        <w:trPr>
          <w:trHeight w:val="288"/>
        </w:trPr>
        <w:tc>
          <w:tcPr>
            <w:tcW w:w="1176" w:type="dxa"/>
            <w:tcBorders>
              <w:top w:val="nil"/>
              <w:left w:val="nil"/>
              <w:bottom w:val="nil"/>
              <w:right w:val="nil"/>
            </w:tcBorders>
            <w:shd w:val="clear" w:color="auto" w:fill="auto"/>
            <w:noWrap/>
            <w:vAlign w:val="bottom"/>
            <w:hideMark/>
          </w:tcPr>
          <w:p w14:paraId="32A9D84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DB30C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EA137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FA5E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913C7B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E2CC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5BF690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2D48D3"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4F963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43052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29EAC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20E2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95C60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6B53CC11" w14:textId="77777777" w:rsidTr="00280673">
        <w:trPr>
          <w:trHeight w:val="288"/>
        </w:trPr>
        <w:tc>
          <w:tcPr>
            <w:tcW w:w="1176" w:type="dxa"/>
            <w:tcBorders>
              <w:top w:val="nil"/>
              <w:left w:val="nil"/>
              <w:bottom w:val="nil"/>
              <w:right w:val="nil"/>
            </w:tcBorders>
            <w:shd w:val="clear" w:color="auto" w:fill="auto"/>
            <w:noWrap/>
            <w:vAlign w:val="bottom"/>
            <w:hideMark/>
          </w:tcPr>
          <w:p w14:paraId="4C60FF2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2883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38A9C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D5C3C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C59C8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8141B4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673A0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2AD49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2ABD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A8987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EE697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5025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AF7622"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5E3519E3" w14:textId="77777777" w:rsidTr="00280673">
        <w:trPr>
          <w:trHeight w:val="288"/>
        </w:trPr>
        <w:tc>
          <w:tcPr>
            <w:tcW w:w="1176" w:type="dxa"/>
            <w:tcBorders>
              <w:top w:val="nil"/>
              <w:left w:val="nil"/>
              <w:bottom w:val="nil"/>
              <w:right w:val="nil"/>
            </w:tcBorders>
            <w:shd w:val="clear" w:color="auto" w:fill="auto"/>
            <w:noWrap/>
            <w:vAlign w:val="bottom"/>
            <w:hideMark/>
          </w:tcPr>
          <w:p w14:paraId="08C8A0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C5707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7739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DD22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799EB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CABBE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977C9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926C8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59D36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0EF86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5C118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5197C4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C0882D"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4C06A8A7" w14:textId="77777777" w:rsidTr="00280673">
        <w:trPr>
          <w:trHeight w:val="288"/>
        </w:trPr>
        <w:tc>
          <w:tcPr>
            <w:tcW w:w="1176" w:type="dxa"/>
            <w:tcBorders>
              <w:top w:val="nil"/>
              <w:left w:val="nil"/>
              <w:bottom w:val="nil"/>
              <w:right w:val="nil"/>
            </w:tcBorders>
            <w:shd w:val="clear" w:color="auto" w:fill="auto"/>
            <w:noWrap/>
            <w:vAlign w:val="bottom"/>
            <w:hideMark/>
          </w:tcPr>
          <w:p w14:paraId="362EF6E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C2C2C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B805D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C5F5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75B51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B107B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82324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0CFA11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64AEC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91C89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C8DB9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9CF312"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25AA64"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0E80341E" w14:textId="77777777" w:rsidTr="00280673">
        <w:trPr>
          <w:trHeight w:val="288"/>
        </w:trPr>
        <w:tc>
          <w:tcPr>
            <w:tcW w:w="1176" w:type="dxa"/>
            <w:tcBorders>
              <w:top w:val="nil"/>
              <w:left w:val="nil"/>
              <w:bottom w:val="nil"/>
              <w:right w:val="nil"/>
            </w:tcBorders>
            <w:shd w:val="clear" w:color="auto" w:fill="auto"/>
            <w:noWrap/>
            <w:vAlign w:val="bottom"/>
            <w:hideMark/>
          </w:tcPr>
          <w:p w14:paraId="3680DEE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F4A57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7C22F1"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553C30"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DF2BF9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AD395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7D492C"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6CE7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09C80F"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84CCF4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5B98D5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714B87"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6B67F7"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r w:rsidR="00280673" w:rsidRPr="00280673" w14:paraId="75D0D59E" w14:textId="77777777" w:rsidTr="00280673">
        <w:trPr>
          <w:trHeight w:val="288"/>
        </w:trPr>
        <w:tc>
          <w:tcPr>
            <w:tcW w:w="1176" w:type="dxa"/>
            <w:tcBorders>
              <w:top w:val="nil"/>
              <w:left w:val="nil"/>
              <w:bottom w:val="nil"/>
              <w:right w:val="nil"/>
            </w:tcBorders>
            <w:shd w:val="clear" w:color="auto" w:fill="auto"/>
            <w:noWrap/>
            <w:vAlign w:val="bottom"/>
            <w:hideMark/>
          </w:tcPr>
          <w:p w14:paraId="675C1E04"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F8655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B552F1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FCA0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9902DD"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0F9415"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B09B29"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3D29D8"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7B14EA"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DE3FDB"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448F26"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346F6E" w14:textId="77777777" w:rsidR="00280673" w:rsidRPr="00280673" w:rsidRDefault="00280673" w:rsidP="00280673">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A3CBDE" w14:textId="77777777" w:rsidR="00280673" w:rsidRPr="00280673" w:rsidRDefault="00280673" w:rsidP="00280673">
            <w:pPr>
              <w:spacing w:after="0" w:line="240" w:lineRule="auto"/>
              <w:rPr>
                <w:rFonts w:ascii="Times New Roman" w:eastAsia="Times New Roman" w:hAnsi="Times New Roman" w:cs="Times New Roman"/>
                <w:sz w:val="20"/>
                <w:szCs w:val="20"/>
              </w:rPr>
            </w:pPr>
          </w:p>
        </w:tc>
      </w:tr>
    </w:tbl>
    <w:p w14:paraId="29487F54" w14:textId="172ACD67" w:rsidR="00280673" w:rsidRDefault="00280673"/>
    <w:p w14:paraId="60169500" w14:textId="02AC689F" w:rsidR="00280673" w:rsidRDefault="00280673"/>
    <w:p w14:paraId="2B364366" w14:textId="5EB0FF82" w:rsidR="00280673" w:rsidRDefault="00280673"/>
    <w:p w14:paraId="47470314" w14:textId="533269BD" w:rsidR="00280673" w:rsidRDefault="00280673"/>
    <w:p w14:paraId="500F56E5" w14:textId="781C61C5" w:rsidR="00280673" w:rsidRDefault="00280673"/>
    <w:p w14:paraId="73DFCAA2" w14:textId="0864B6B0" w:rsidR="00280673" w:rsidRDefault="00280673"/>
    <w:p w14:paraId="1AC1340A" w14:textId="705AF9C4" w:rsidR="00280673" w:rsidRDefault="00280673"/>
    <w:p w14:paraId="59C11830" w14:textId="77777777" w:rsidR="002D5E47" w:rsidRDefault="002D5E47">
      <w:pPr>
        <w:sectPr w:rsidR="002D5E47" w:rsidSect="00BC4D99">
          <w:pgSz w:w="12240" w:h="15840" w:code="1"/>
          <w:pgMar w:top="1440" w:right="1440" w:bottom="1440" w:left="1440" w:header="720" w:footer="720" w:gutter="0"/>
          <w:cols w:space="720"/>
          <w:docGrid w:linePitch="360"/>
        </w:sectPr>
      </w:pPr>
    </w:p>
    <w:bookmarkStart w:id="13" w:name="_MON_1684057770"/>
    <w:bookmarkEnd w:id="13"/>
    <w:p w14:paraId="53ABF0E3" w14:textId="06AAC86F" w:rsidR="002D5E47" w:rsidRDefault="009D581B" w:rsidP="002D5E47">
      <w:r>
        <w:object w:dxaOrig="13790" w:dyaOrig="9242" w14:anchorId="63C9B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45pt;height:345.05pt" o:ole="">
            <v:imagedata r:id="rId18" o:title=""/>
          </v:shape>
          <o:OLEObject Type="Embed" ProgID="Excel.Sheet.12" ShapeID="_x0000_i1025" DrawAspect="Content" ObjectID="_1693732415" r:id="rId19"/>
        </w:object>
      </w:r>
    </w:p>
    <w:bookmarkStart w:id="14" w:name="_MON_1684057709"/>
    <w:bookmarkEnd w:id="14"/>
    <w:p w14:paraId="06452469" w14:textId="67A4F532" w:rsidR="002D5E47" w:rsidRDefault="009D581B" w:rsidP="002D5E47">
      <w:r>
        <w:object w:dxaOrig="13790" w:dyaOrig="9227" w14:anchorId="4BAE228D">
          <v:shape id="_x0000_i1026" type="#_x0000_t75" style="width:689pt;height:460.25pt" o:ole="">
            <v:imagedata r:id="rId20" o:title=""/>
          </v:shape>
          <o:OLEObject Type="Embed" ProgID="Excel.Sheet.12" ShapeID="_x0000_i1026" DrawAspect="Content" ObjectID="_1693732416" r:id="rId21"/>
        </w:object>
      </w:r>
    </w:p>
    <w:bookmarkStart w:id="15" w:name="_MON_1684057842"/>
    <w:bookmarkEnd w:id="15"/>
    <w:p w14:paraId="259291DC" w14:textId="76CF4320" w:rsidR="002D5E47" w:rsidRDefault="008E2BF9" w:rsidP="002D5E47">
      <w:r>
        <w:object w:dxaOrig="13343" w:dyaOrig="10070" w14:anchorId="7270665E">
          <v:shape id="_x0000_i1027" type="#_x0000_t75" style="width:667.4pt;height:503.45pt" o:ole="">
            <v:imagedata r:id="rId22" o:title=""/>
          </v:shape>
          <o:OLEObject Type="Embed" ProgID="Excel.Sheet.12" ShapeID="_x0000_i1027" DrawAspect="Content" ObjectID="_1693732417" r:id="rId23"/>
        </w:object>
      </w:r>
    </w:p>
    <w:p w14:paraId="02F263DE" w14:textId="77777777" w:rsidR="002D5E47" w:rsidRDefault="002D5E47" w:rsidP="002D5E47">
      <w:r>
        <w:object w:dxaOrig="13324" w:dyaOrig="10124" w14:anchorId="5D141A9C">
          <v:shape id="_x0000_i1028" type="#_x0000_t75" style="width:666.3pt;height:506.2pt" o:ole="">
            <v:imagedata r:id="rId24" o:title=""/>
          </v:shape>
          <o:OLEObject Type="Embed" ProgID="Excel.Sheet.12" ShapeID="_x0000_i1028" DrawAspect="Content" ObjectID="_1693732418" r:id="rId25"/>
        </w:object>
      </w:r>
    </w:p>
    <w:p w14:paraId="27EDDEF1" w14:textId="77777777" w:rsidR="002D5E47" w:rsidRDefault="002D5E47" w:rsidP="002D5E47">
      <w:r>
        <w:object w:dxaOrig="13594" w:dyaOrig="9594" w14:anchorId="674DB341">
          <v:shape id="_x0000_i1029" type="#_x0000_t75" style="width:679.55pt;height:480.2pt" o:ole="">
            <v:imagedata r:id="rId26" o:title=""/>
          </v:shape>
          <o:OLEObject Type="Embed" ProgID="Excel.Sheet.12" ShapeID="_x0000_i1029" DrawAspect="Content" ObjectID="_1693732419" r:id="rId27"/>
        </w:object>
      </w:r>
    </w:p>
    <w:bookmarkStart w:id="16" w:name="_MON_1684057931"/>
    <w:bookmarkEnd w:id="16"/>
    <w:p w14:paraId="309D7B43" w14:textId="3A3B0F2C" w:rsidR="00280673" w:rsidRDefault="00EF29EE">
      <w:r>
        <w:object w:dxaOrig="13910" w:dyaOrig="8850" w14:anchorId="2AE2A3A0">
          <v:shape id="_x0000_i1030" type="#_x0000_t75" style="width:695.65pt;height:441.95pt" o:ole="">
            <v:imagedata r:id="rId28" o:title=""/>
          </v:shape>
          <o:OLEObject Type="Embed" ProgID="Excel.Sheet.12" ShapeID="_x0000_i1030" DrawAspect="Content" ObjectID="_1693732420" r:id="rId29"/>
        </w:object>
      </w:r>
    </w:p>
    <w:sectPr w:rsidR="00280673" w:rsidSect="002D5E4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F778" w14:textId="77777777" w:rsidR="007B4546" w:rsidRDefault="007B4546" w:rsidP="00E054C1">
      <w:pPr>
        <w:spacing w:after="0" w:line="240" w:lineRule="auto"/>
      </w:pPr>
      <w:r>
        <w:separator/>
      </w:r>
    </w:p>
  </w:endnote>
  <w:endnote w:type="continuationSeparator" w:id="0">
    <w:p w14:paraId="68B00D90" w14:textId="77777777" w:rsidR="007B4546" w:rsidRDefault="007B4546" w:rsidP="00E0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Italic">
    <w:panose1 w:val="02020503050405090304"/>
    <w:charset w:val="00"/>
    <w:family w:val="auto"/>
    <w:pitch w:val="variable"/>
    <w:sig w:usb0="03000A87" w:usb1="00000000"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276967"/>
      <w:docPartObj>
        <w:docPartGallery w:val="Page Numbers (Bottom of Page)"/>
        <w:docPartUnique/>
      </w:docPartObj>
    </w:sdtPr>
    <w:sdtEndPr/>
    <w:sdtContent>
      <w:p w14:paraId="206FBE9F" w14:textId="3C4E219D" w:rsidR="00280673" w:rsidRDefault="00280673">
        <w:pPr>
          <w:pStyle w:val="Footer"/>
          <w:jc w:val="center"/>
        </w:pPr>
        <w:r>
          <w:fldChar w:fldCharType="begin"/>
        </w:r>
        <w:r>
          <w:instrText xml:space="preserve"> PAGE   \* MERGEFORMAT </w:instrText>
        </w:r>
        <w:r>
          <w:fldChar w:fldCharType="separate"/>
        </w:r>
        <w:r w:rsidR="007A2E4D">
          <w:rPr>
            <w:noProof/>
          </w:rPr>
          <w:t>21</w:t>
        </w:r>
        <w:r>
          <w:rPr>
            <w:noProof/>
          </w:rPr>
          <w:fldChar w:fldCharType="end"/>
        </w:r>
      </w:p>
    </w:sdtContent>
  </w:sdt>
  <w:p w14:paraId="79F09613" w14:textId="77777777" w:rsidR="00280673" w:rsidRDefault="00280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ADACF" w14:textId="77777777" w:rsidR="007B4546" w:rsidRDefault="007B4546" w:rsidP="00E054C1">
      <w:pPr>
        <w:spacing w:after="0" w:line="240" w:lineRule="auto"/>
      </w:pPr>
      <w:r>
        <w:separator/>
      </w:r>
    </w:p>
  </w:footnote>
  <w:footnote w:type="continuationSeparator" w:id="0">
    <w:p w14:paraId="545B4441" w14:textId="77777777" w:rsidR="007B4546" w:rsidRDefault="007B4546" w:rsidP="00E054C1">
      <w:pPr>
        <w:spacing w:after="0" w:line="240" w:lineRule="auto"/>
      </w:pPr>
      <w:r>
        <w:continuationSeparator/>
      </w:r>
    </w:p>
  </w:footnote>
  <w:footnote w:id="1">
    <w:p w14:paraId="4183D5A9" w14:textId="63787333" w:rsidR="00280673" w:rsidRPr="00836E04" w:rsidRDefault="00280673" w:rsidP="00E92309">
      <w:pPr>
        <w:rPr>
          <w:rFonts w:ascii="Times New Roman" w:hAnsi="Times New Roman" w:cs="Times New Roman"/>
          <w:sz w:val="24"/>
          <w:szCs w:val="24"/>
        </w:rPr>
      </w:pPr>
      <w:r>
        <w:rPr>
          <w:rStyle w:val="FootnoteReference"/>
        </w:rPr>
        <w:footnoteRef/>
      </w:r>
      <w:r>
        <w:t xml:space="preserve"> </w:t>
      </w:r>
      <w:hyperlink r:id="rId1" w:history="1">
        <w:r w:rsidRPr="00CE2AF2">
          <w:rPr>
            <w:rStyle w:val="Hyperlink"/>
            <w:rFonts w:ascii="Times New Roman" w:hAnsi="Times New Roman" w:cs="Times New Roman"/>
            <w:sz w:val="24"/>
            <w:szCs w:val="24"/>
          </w:rPr>
          <w:t>http://img.en25.com/Web/StandardandPoors/SP_CreditRatingsGuide.pdf</w:t>
        </w:r>
      </w:hyperlink>
    </w:p>
  </w:footnote>
  <w:footnote w:id="2">
    <w:p w14:paraId="592F2427" w14:textId="585E546C" w:rsidR="00280673" w:rsidRDefault="00280673" w:rsidP="001238F0">
      <w:pPr>
        <w:pStyle w:val="FootnoteText"/>
      </w:pPr>
      <w:r>
        <w:rPr>
          <w:rStyle w:val="FootnoteReference"/>
        </w:rPr>
        <w:footnoteRef/>
      </w:r>
      <w:hyperlink r:id="rId2" w:history="1">
        <w:r w:rsidRPr="007602B7">
          <w:rPr>
            <w:rStyle w:val="Hyperlink"/>
            <w:sz w:val="22"/>
            <w:szCs w:val="22"/>
          </w:rPr>
          <w:t>https://www.spratings.com/documents/20184/774196/CreditWatchPlacementsAndOutlooksContinueToForeshadowRatingsBehavior_Dec-13-2016.pdf/1190387e-7aa9-4523-a9c4-c0713f43ba56</w:t>
        </w:r>
      </w:hyperlink>
    </w:p>
  </w:footnote>
  <w:footnote w:id="3">
    <w:p w14:paraId="5696BBD9" w14:textId="0D47B5C7" w:rsidR="00280673" w:rsidRPr="008B31E8" w:rsidRDefault="00280673">
      <w:pPr>
        <w:pStyle w:val="FootnoteText"/>
        <w:rPr>
          <w:rFonts w:ascii="Times New Roman" w:hAnsi="Times New Roman" w:cs="Times New Roman"/>
          <w:sz w:val="24"/>
          <w:szCs w:val="24"/>
        </w:rPr>
      </w:pPr>
      <w:r w:rsidRPr="008B31E8">
        <w:rPr>
          <w:rStyle w:val="FootnoteReference"/>
          <w:rFonts w:ascii="Times New Roman" w:hAnsi="Times New Roman" w:cs="Times New Roman"/>
          <w:sz w:val="24"/>
          <w:szCs w:val="24"/>
        </w:rPr>
        <w:footnoteRef/>
      </w:r>
      <w:r w:rsidRPr="008B31E8">
        <w:rPr>
          <w:rFonts w:ascii="Times New Roman" w:hAnsi="Times New Roman" w:cs="Times New Roman"/>
          <w:sz w:val="24"/>
          <w:szCs w:val="24"/>
        </w:rPr>
        <w:t xml:space="preserve"> The </w:t>
      </w:r>
      <w:proofErr w:type="spellStart"/>
      <w:r w:rsidRPr="008B31E8">
        <w:rPr>
          <w:rFonts w:ascii="Times New Roman" w:hAnsi="Times New Roman" w:cs="Times New Roman"/>
          <w:sz w:val="24"/>
          <w:szCs w:val="24"/>
        </w:rPr>
        <w:t>Compustat</w:t>
      </w:r>
      <w:proofErr w:type="spellEnd"/>
      <w:r w:rsidRPr="008B31E8">
        <w:rPr>
          <w:rFonts w:ascii="Times New Roman" w:hAnsi="Times New Roman" w:cs="Times New Roman"/>
          <w:sz w:val="24"/>
          <w:szCs w:val="24"/>
        </w:rPr>
        <w:t xml:space="preserve"> S&amp;P Ratings database </w:t>
      </w:r>
      <w:r>
        <w:rPr>
          <w:rFonts w:ascii="Times New Roman" w:hAnsi="Times New Roman" w:cs="Times New Roman"/>
          <w:sz w:val="24"/>
          <w:szCs w:val="24"/>
        </w:rPr>
        <w:t xml:space="preserve">on WRDS </w:t>
      </w:r>
      <w:r w:rsidRPr="008B31E8">
        <w:rPr>
          <w:rFonts w:ascii="Times New Roman" w:hAnsi="Times New Roman" w:cs="Times New Roman"/>
          <w:sz w:val="24"/>
          <w:szCs w:val="24"/>
        </w:rPr>
        <w:t>was discontinued after this date moving forward.</w:t>
      </w:r>
    </w:p>
  </w:footnote>
  <w:footnote w:id="4">
    <w:p w14:paraId="399E0024" w14:textId="77777777" w:rsidR="00280673" w:rsidRPr="00F0310A" w:rsidRDefault="00280673" w:rsidP="00841C31">
      <w:pPr>
        <w:pStyle w:val="FootnoteText"/>
        <w:rPr>
          <w:rFonts w:ascii="Times New Roman" w:hAnsi="Times New Roman" w:cs="Times New Roman"/>
          <w:sz w:val="24"/>
          <w:szCs w:val="24"/>
        </w:rPr>
      </w:pPr>
      <w:r w:rsidRPr="00F0310A">
        <w:rPr>
          <w:rStyle w:val="FootnoteReference"/>
          <w:rFonts w:ascii="Times New Roman" w:hAnsi="Times New Roman" w:cs="Times New Roman"/>
          <w:sz w:val="24"/>
          <w:szCs w:val="24"/>
        </w:rPr>
        <w:footnoteRef/>
      </w:r>
      <w:r w:rsidRPr="00F0310A">
        <w:rPr>
          <w:rFonts w:ascii="Times New Roman" w:hAnsi="Times New Roman" w:cs="Times New Roman"/>
          <w:sz w:val="24"/>
          <w:szCs w:val="24"/>
        </w:rPr>
        <w:t xml:space="preserve"> When computing leverage ratios over the eight quarters PRE, Q</w:t>
      </w:r>
      <w:r w:rsidRPr="00F60A58">
        <w:rPr>
          <w:rFonts w:ascii="Times New Roman" w:hAnsi="Times New Roman" w:cs="Times New Roman"/>
          <w:sz w:val="24"/>
          <w:szCs w:val="24"/>
        </w:rPr>
        <w:t>-8</w:t>
      </w:r>
      <w:r w:rsidRPr="00F0310A">
        <w:rPr>
          <w:rFonts w:ascii="Times New Roman" w:hAnsi="Times New Roman" w:cs="Times New Roman"/>
          <w:sz w:val="24"/>
          <w:szCs w:val="24"/>
        </w:rPr>
        <w:t xml:space="preserve"> through Q</w:t>
      </w:r>
      <w:r w:rsidRPr="00F60A58">
        <w:rPr>
          <w:rFonts w:ascii="Times New Roman" w:hAnsi="Times New Roman" w:cs="Times New Roman"/>
          <w:sz w:val="24"/>
          <w:szCs w:val="24"/>
        </w:rPr>
        <w:t>-1</w:t>
      </w:r>
      <w:r w:rsidRPr="00F0310A">
        <w:rPr>
          <w:rFonts w:ascii="Times New Roman" w:hAnsi="Times New Roman" w:cs="Times New Roman"/>
          <w:sz w:val="24"/>
          <w:szCs w:val="24"/>
        </w:rPr>
        <w:t>, Q</w:t>
      </w:r>
      <w:r w:rsidRPr="00F60A58">
        <w:rPr>
          <w:rFonts w:ascii="Times New Roman" w:hAnsi="Times New Roman" w:cs="Times New Roman"/>
          <w:sz w:val="24"/>
          <w:szCs w:val="24"/>
        </w:rPr>
        <w:t>-1</w:t>
      </w:r>
      <w:r w:rsidRPr="00F0310A">
        <w:rPr>
          <w:rFonts w:ascii="Times New Roman" w:hAnsi="Times New Roman" w:cs="Times New Roman"/>
          <w:sz w:val="24"/>
          <w:szCs w:val="24"/>
        </w:rPr>
        <w:t xml:space="preserve"> is the most recent quarter of data just ending prior to the earlier of either the earliest </w:t>
      </w:r>
      <w:r>
        <w:rPr>
          <w:rFonts w:ascii="Times New Roman" w:hAnsi="Times New Roman" w:cs="Times New Roman"/>
          <w:sz w:val="24"/>
          <w:szCs w:val="24"/>
        </w:rPr>
        <w:t>CW placement</w:t>
      </w:r>
      <w:r w:rsidRPr="00F0310A">
        <w:rPr>
          <w:rFonts w:ascii="Times New Roman" w:hAnsi="Times New Roman" w:cs="Times New Roman"/>
          <w:sz w:val="24"/>
          <w:szCs w:val="24"/>
        </w:rPr>
        <w:t xml:space="preserve"> date or the rating change date.</w:t>
      </w:r>
    </w:p>
  </w:footnote>
  <w:footnote w:id="5">
    <w:p w14:paraId="7D782656" w14:textId="77777777" w:rsidR="00280673" w:rsidRPr="00F0310A" w:rsidRDefault="00280673" w:rsidP="00841C31">
      <w:pPr>
        <w:pStyle w:val="FootnoteText"/>
        <w:rPr>
          <w:rFonts w:ascii="Times New Roman" w:hAnsi="Times New Roman" w:cs="Times New Roman"/>
          <w:sz w:val="24"/>
          <w:szCs w:val="24"/>
        </w:rPr>
      </w:pPr>
      <w:r w:rsidRPr="00F0310A">
        <w:rPr>
          <w:rStyle w:val="FootnoteReference"/>
          <w:rFonts w:ascii="Times New Roman" w:hAnsi="Times New Roman" w:cs="Times New Roman"/>
          <w:sz w:val="24"/>
          <w:szCs w:val="24"/>
        </w:rPr>
        <w:footnoteRef/>
      </w:r>
      <w:r w:rsidRPr="00F0310A">
        <w:rPr>
          <w:rFonts w:ascii="Times New Roman" w:hAnsi="Times New Roman" w:cs="Times New Roman"/>
          <w:sz w:val="24"/>
          <w:szCs w:val="24"/>
        </w:rPr>
        <w:t xml:space="preserve"> P-values across these categories are .0006 or less.</w:t>
      </w:r>
    </w:p>
  </w:footnote>
  <w:footnote w:id="6">
    <w:p w14:paraId="79E111C3" w14:textId="70C5B50E" w:rsidR="00280673" w:rsidRPr="001D1F7A" w:rsidRDefault="00280673" w:rsidP="001D1F7A">
      <w:pPr>
        <w:spacing w:after="0" w:line="240" w:lineRule="auto"/>
        <w:rPr>
          <w:rFonts w:ascii="Times New Roman" w:hAnsi="Times New Roman" w:cs="Times New Roman"/>
          <w:sz w:val="24"/>
          <w:szCs w:val="24"/>
        </w:rPr>
      </w:pPr>
      <w:r w:rsidRPr="00C4555D">
        <w:rPr>
          <w:rStyle w:val="FootnoteReference"/>
          <w:rFonts w:ascii="Times New Roman" w:hAnsi="Times New Roman" w:cs="Times New Roman"/>
          <w:sz w:val="24"/>
          <w:szCs w:val="24"/>
        </w:rPr>
        <w:footnoteRef/>
      </w:r>
      <w:r w:rsidRPr="00C4555D">
        <w:rPr>
          <w:rFonts w:ascii="Times New Roman" w:hAnsi="Times New Roman" w:cs="Times New Roman"/>
          <w:sz w:val="24"/>
          <w:szCs w:val="24"/>
        </w:rPr>
        <w:t xml:space="preserve"> </w:t>
      </w:r>
      <w:r>
        <w:rPr>
          <w:rFonts w:ascii="Times New Roman" w:hAnsi="Times New Roman" w:cs="Times New Roman"/>
          <w:sz w:val="24"/>
          <w:szCs w:val="24"/>
        </w:rPr>
        <w:t xml:space="preserve">“Pre-changed” rating refers to the most recent rating just prior to change.  “Q0” reflects TD/TA measured equal to or immediately following the rating change.  </w:t>
      </w:r>
      <w:r w:rsidRPr="00C4555D">
        <w:rPr>
          <w:rFonts w:ascii="Times New Roman" w:hAnsi="Times New Roman" w:cs="Times New Roman"/>
          <w:sz w:val="24"/>
          <w:szCs w:val="24"/>
        </w:rPr>
        <w:t xml:space="preserve">Median results shown in figures are qualitatively the </w:t>
      </w:r>
      <w:r w:rsidRPr="001D1F7A">
        <w:rPr>
          <w:rFonts w:ascii="Times New Roman" w:hAnsi="Times New Roman" w:cs="Times New Roman"/>
          <w:sz w:val="24"/>
          <w:szCs w:val="24"/>
        </w:rPr>
        <w:t xml:space="preserve">same throughout our analysis.  </w:t>
      </w:r>
      <w:r w:rsidR="00E176A7">
        <w:rPr>
          <w:rFonts w:ascii="Times New Roman" w:hAnsi="Times New Roman" w:cs="Times New Roman"/>
          <w:sz w:val="24"/>
          <w:szCs w:val="24"/>
        </w:rPr>
        <w:t xml:space="preserve">Results associated with tests of significance differences between PRE and POST median measures are </w:t>
      </w:r>
      <w:proofErr w:type="gramStart"/>
      <w:r w:rsidR="00E176A7">
        <w:rPr>
          <w:rFonts w:ascii="Times New Roman" w:hAnsi="Times New Roman" w:cs="Times New Roman"/>
          <w:sz w:val="24"/>
          <w:szCs w:val="24"/>
        </w:rPr>
        <w:t>similar to</w:t>
      </w:r>
      <w:proofErr w:type="gramEnd"/>
      <w:r w:rsidR="00E176A7">
        <w:rPr>
          <w:rFonts w:ascii="Times New Roman" w:hAnsi="Times New Roman" w:cs="Times New Roman"/>
          <w:sz w:val="24"/>
          <w:szCs w:val="24"/>
        </w:rPr>
        <w:t xml:space="preserve"> those reported in Tables 3 and 4</w:t>
      </w:r>
      <w:r w:rsidR="00712338">
        <w:rPr>
          <w:rFonts w:ascii="Times New Roman" w:hAnsi="Times New Roman" w:cs="Times New Roman"/>
          <w:sz w:val="24"/>
          <w:szCs w:val="24"/>
        </w:rPr>
        <w:t>.</w:t>
      </w:r>
    </w:p>
  </w:footnote>
  <w:footnote w:id="7">
    <w:p w14:paraId="01136692" w14:textId="130F1B55" w:rsidR="00280673" w:rsidRPr="001D1F7A" w:rsidRDefault="00280673">
      <w:pPr>
        <w:pStyle w:val="FootnoteText"/>
        <w:rPr>
          <w:rFonts w:ascii="Times New Roman" w:hAnsi="Times New Roman" w:cs="Times New Roman"/>
          <w:sz w:val="24"/>
          <w:szCs w:val="24"/>
        </w:rPr>
      </w:pPr>
      <w:r w:rsidRPr="001D1F7A">
        <w:rPr>
          <w:rStyle w:val="FootnoteReference"/>
          <w:rFonts w:ascii="Times New Roman" w:hAnsi="Times New Roman" w:cs="Times New Roman"/>
          <w:sz w:val="24"/>
          <w:szCs w:val="24"/>
        </w:rPr>
        <w:footnoteRef/>
      </w:r>
      <w:r w:rsidRPr="001D1F7A">
        <w:rPr>
          <w:rFonts w:ascii="Times New Roman" w:hAnsi="Times New Roman" w:cs="Times New Roman"/>
          <w:sz w:val="24"/>
          <w:szCs w:val="24"/>
        </w:rPr>
        <w:t xml:space="preserve"> In the following figures, broad ratings are indicated by color</w:t>
      </w:r>
      <w:r>
        <w:rPr>
          <w:rFonts w:ascii="Times New Roman" w:hAnsi="Times New Roman" w:cs="Times New Roman"/>
          <w:sz w:val="24"/>
          <w:szCs w:val="24"/>
        </w:rPr>
        <w:t xml:space="preserve"> with </w:t>
      </w:r>
      <w:r w:rsidRPr="001D1F7A">
        <w:rPr>
          <w:rFonts w:ascii="Times New Roman" w:hAnsi="Times New Roman" w:cs="Times New Roman"/>
          <w:sz w:val="24"/>
          <w:szCs w:val="24"/>
        </w:rPr>
        <w:t>“+,” non-notch, and “</w:t>
      </w:r>
      <w:proofErr w:type="gramStart"/>
      <w:r w:rsidRPr="001D1F7A">
        <w:rPr>
          <w:rFonts w:ascii="Times New Roman" w:hAnsi="Times New Roman" w:cs="Times New Roman"/>
          <w:sz w:val="24"/>
          <w:szCs w:val="24"/>
        </w:rPr>
        <w:t xml:space="preserve">-“  </w:t>
      </w:r>
      <w:proofErr w:type="gramEnd"/>
      <w:r w:rsidRPr="001D1F7A">
        <w:rPr>
          <w:rFonts w:ascii="Times New Roman" w:hAnsi="Times New Roman" w:cs="Times New Roman"/>
          <w:sz w:val="24"/>
          <w:szCs w:val="24"/>
        </w:rPr>
        <w:t>reflected by dotted, solid, and dashed lines, respectively.</w:t>
      </w:r>
    </w:p>
  </w:footnote>
  <w:footnote w:id="8">
    <w:p w14:paraId="7C02EF76" w14:textId="17F1961A" w:rsidR="00280673" w:rsidRPr="002461CD" w:rsidRDefault="00280673">
      <w:pPr>
        <w:pStyle w:val="FootnoteText"/>
        <w:rPr>
          <w:rFonts w:ascii="Times New Roman" w:hAnsi="Times New Roman" w:cs="Times New Roman"/>
          <w:sz w:val="24"/>
          <w:szCs w:val="24"/>
        </w:rPr>
      </w:pPr>
      <w:r w:rsidRPr="002461CD">
        <w:rPr>
          <w:rStyle w:val="FootnoteReference"/>
          <w:rFonts w:ascii="Times New Roman" w:hAnsi="Times New Roman" w:cs="Times New Roman"/>
          <w:sz w:val="24"/>
          <w:szCs w:val="24"/>
        </w:rPr>
        <w:footnoteRef/>
      </w:r>
      <w:r w:rsidRPr="002461CD">
        <w:rPr>
          <w:rFonts w:ascii="Times New Roman" w:hAnsi="Times New Roman" w:cs="Times New Roman"/>
          <w:sz w:val="24"/>
          <w:szCs w:val="24"/>
        </w:rPr>
        <w:t xml:space="preserve"> </w:t>
      </w:r>
      <w:r>
        <w:rPr>
          <w:rFonts w:ascii="Times New Roman" w:hAnsi="Times New Roman" w:cs="Times New Roman"/>
          <w:sz w:val="24"/>
          <w:szCs w:val="24"/>
        </w:rPr>
        <w:t xml:space="preserve">As an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for clarification of the presented results, t</w:t>
      </w:r>
      <w:r w:rsidRPr="002461CD">
        <w:rPr>
          <w:rFonts w:ascii="Times New Roman" w:hAnsi="Times New Roman" w:cs="Times New Roman"/>
          <w:sz w:val="24"/>
          <w:szCs w:val="24"/>
        </w:rPr>
        <w:t xml:space="preserve">he </w:t>
      </w:r>
      <w:r>
        <w:rPr>
          <w:rFonts w:ascii="Times New Roman" w:hAnsi="Times New Roman" w:cs="Times New Roman"/>
          <w:sz w:val="24"/>
          <w:szCs w:val="24"/>
        </w:rPr>
        <w:t xml:space="preserve">PRE Q-8 through Q-1 </w:t>
      </w:r>
      <w:r w:rsidRPr="002461CD">
        <w:rPr>
          <w:rFonts w:ascii="Times New Roman" w:hAnsi="Times New Roman" w:cs="Times New Roman"/>
          <w:sz w:val="24"/>
          <w:szCs w:val="24"/>
        </w:rPr>
        <w:t xml:space="preserve">“Max Average” and “Min Average” of .28 and .27 </w:t>
      </w:r>
      <w:r>
        <w:rPr>
          <w:rFonts w:ascii="Times New Roman" w:hAnsi="Times New Roman" w:cs="Times New Roman"/>
          <w:sz w:val="24"/>
          <w:szCs w:val="24"/>
        </w:rPr>
        <w:t xml:space="preserve">for BBB+ firms </w:t>
      </w:r>
      <w:r w:rsidRPr="002461CD">
        <w:rPr>
          <w:rFonts w:ascii="Times New Roman" w:hAnsi="Times New Roman" w:cs="Times New Roman"/>
          <w:sz w:val="24"/>
          <w:szCs w:val="24"/>
        </w:rPr>
        <w:t>in Panel A reflect the highest and lowest average TD/TA ratio calculated, respectively, across the eight PRE quarters for any one particular firm out of the 233 firms possible.  “Mean Average” reflects an average of the 233 average PRE TD/TA ratios calculated across all 233 firms.</w:t>
      </w:r>
    </w:p>
  </w:footnote>
  <w:footnote w:id="9">
    <w:p w14:paraId="49D8C5CA" w14:textId="7DF9AAC8" w:rsidR="00280673" w:rsidRPr="00C4555D" w:rsidRDefault="00280673">
      <w:pPr>
        <w:pStyle w:val="FootnoteText"/>
        <w:rPr>
          <w:rFonts w:ascii="Times New Roman" w:hAnsi="Times New Roman" w:cs="Times New Roman"/>
          <w:sz w:val="24"/>
          <w:szCs w:val="24"/>
        </w:rPr>
      </w:pPr>
      <w:r w:rsidRPr="00C4555D">
        <w:rPr>
          <w:rStyle w:val="FootnoteReference"/>
          <w:rFonts w:ascii="Times New Roman" w:hAnsi="Times New Roman" w:cs="Times New Roman"/>
          <w:sz w:val="24"/>
          <w:szCs w:val="24"/>
        </w:rPr>
        <w:footnoteRef/>
      </w:r>
      <w:r w:rsidRPr="00C4555D">
        <w:rPr>
          <w:rFonts w:ascii="Times New Roman" w:hAnsi="Times New Roman" w:cs="Times New Roman"/>
          <w:sz w:val="24"/>
          <w:szCs w:val="24"/>
        </w:rPr>
        <w:t xml:space="preserve"> LTD/TA results generally mirror those of LT/TA results and, as such, are not reported unless they are important in highlighting the anticipatory nature of debt structure adjustments by management.</w:t>
      </w:r>
    </w:p>
  </w:footnote>
  <w:footnote w:id="10">
    <w:p w14:paraId="5454EEE2" w14:textId="69D18480" w:rsidR="00280673" w:rsidRPr="008346AD" w:rsidRDefault="00280673">
      <w:pPr>
        <w:pStyle w:val="FootnoteText"/>
        <w:rPr>
          <w:rFonts w:ascii="Times New Roman" w:hAnsi="Times New Roman" w:cs="Times New Roman"/>
          <w:sz w:val="24"/>
          <w:szCs w:val="24"/>
        </w:rPr>
      </w:pPr>
      <w:r w:rsidRPr="008346AD">
        <w:rPr>
          <w:rStyle w:val="FootnoteReference"/>
          <w:rFonts w:ascii="Times New Roman" w:hAnsi="Times New Roman" w:cs="Times New Roman"/>
          <w:sz w:val="24"/>
          <w:szCs w:val="24"/>
        </w:rPr>
        <w:footnoteRef/>
      </w:r>
      <w:r w:rsidRPr="008346AD">
        <w:rPr>
          <w:rFonts w:ascii="Times New Roman" w:hAnsi="Times New Roman" w:cs="Times New Roman"/>
          <w:sz w:val="24"/>
          <w:szCs w:val="24"/>
        </w:rPr>
        <w:t xml:space="preserve"> That TD/TA increases over quarters Q-4 through Q-2 while LTD/TA decreases suggests that these firms are switching out of long-term debt into other shorter forms of debt during this </w:t>
      </w:r>
      <w:proofErr w:type="gramStart"/>
      <w:r w:rsidRPr="008346AD">
        <w:rPr>
          <w:rFonts w:ascii="Times New Roman" w:hAnsi="Times New Roman" w:cs="Times New Roman"/>
          <w:sz w:val="24"/>
          <w:szCs w:val="24"/>
        </w:rPr>
        <w:t>time period</w:t>
      </w:r>
      <w:proofErr w:type="gramEnd"/>
      <w:r>
        <w:rPr>
          <w:rFonts w:ascii="Times New Roman" w:hAnsi="Times New Roman" w:cs="Times New Roman"/>
          <w:sz w:val="24"/>
          <w:szCs w:val="24"/>
        </w:rPr>
        <w:t>.</w:t>
      </w:r>
    </w:p>
  </w:footnote>
  <w:footnote w:id="11">
    <w:p w14:paraId="0A0C383A" w14:textId="2111E4FD" w:rsidR="00280673" w:rsidRDefault="00280673" w:rsidP="0059407D">
      <w:pPr>
        <w:spacing w:after="0" w:line="240" w:lineRule="auto"/>
      </w:pPr>
      <w:r w:rsidRPr="002446A5">
        <w:rPr>
          <w:rStyle w:val="FootnoteReference"/>
          <w:rFonts w:ascii="Times New Roman" w:hAnsi="Times New Roman" w:cs="Times New Roman"/>
          <w:sz w:val="24"/>
          <w:szCs w:val="24"/>
        </w:rPr>
        <w:footnoteRef/>
      </w:r>
      <w:r w:rsidRPr="002446A5">
        <w:rPr>
          <w:rFonts w:ascii="Times New Roman" w:hAnsi="Times New Roman" w:cs="Times New Roman"/>
          <w:i/>
          <w:iCs/>
          <w:sz w:val="24"/>
          <w:szCs w:val="24"/>
        </w:rPr>
        <w:t>ΔSP</w:t>
      </w:r>
      <w:r w:rsidRPr="002446A5">
        <w:rPr>
          <w:rFonts w:ascii="Times New Roman" w:hAnsi="Times New Roman" w:cs="Times New Roman"/>
          <w:sz w:val="24"/>
          <w:szCs w:val="24"/>
        </w:rPr>
        <w:t xml:space="preserve"> measures</w:t>
      </w:r>
      <w:r>
        <w:rPr>
          <w:rFonts w:ascii="Times New Roman" w:hAnsi="Times New Roman" w:cs="Times New Roman"/>
          <w:sz w:val="24"/>
          <w:szCs w:val="24"/>
        </w:rPr>
        <w:t xml:space="preserve"> the </w:t>
      </w:r>
      <w:r w:rsidRPr="00C94395">
        <w:rPr>
          <w:rFonts w:ascii="Times New Roman" w:hAnsi="Times New Roman" w:cs="Times New Roman"/>
          <w:sz w:val="24"/>
          <w:szCs w:val="24"/>
        </w:rPr>
        <w:t xml:space="preserve">change in rating for firm </w:t>
      </w:r>
      <w:r w:rsidRPr="00C94395">
        <w:rPr>
          <w:rFonts w:ascii="Times New Roman" w:hAnsi="Times New Roman" w:cs="Times New Roman"/>
          <w:i/>
          <w:iCs/>
          <w:sz w:val="24"/>
          <w:szCs w:val="24"/>
        </w:rPr>
        <w:t>i</w:t>
      </w:r>
      <w:r>
        <w:rPr>
          <w:rFonts w:ascii="Times New Roman" w:hAnsi="Times New Roman" w:cs="Times New Roman"/>
          <w:sz w:val="24"/>
          <w:szCs w:val="24"/>
        </w:rPr>
        <w:t xml:space="preserve"> over Q0 </w:t>
      </w:r>
      <w:r w:rsidRPr="00C94395">
        <w:rPr>
          <w:rFonts w:ascii="Times New Roman" w:hAnsi="Times New Roman" w:cs="Times New Roman"/>
          <w:sz w:val="24"/>
          <w:szCs w:val="24"/>
        </w:rPr>
        <w:t xml:space="preserve">where </w:t>
      </w:r>
      <w:r>
        <w:rPr>
          <w:rFonts w:ascii="Times New Roman" w:hAnsi="Times New Roman" w:cs="Times New Roman"/>
          <w:sz w:val="24"/>
          <w:szCs w:val="24"/>
        </w:rPr>
        <w:t>rating AAA=1, AA+=2, AA=3, and so on.  For example, if a firm experiences a change in rating from BBB to BBB+ then the calculation for this change would be 9-8=1.</w:t>
      </w:r>
    </w:p>
  </w:footnote>
  <w:footnote w:id="12">
    <w:p w14:paraId="54F7638B" w14:textId="111C75E1" w:rsidR="00280673" w:rsidRPr="00E93D3F" w:rsidRDefault="00280673" w:rsidP="009B635C">
      <w:pPr>
        <w:pStyle w:val="FootnoteText"/>
        <w:rPr>
          <w:rFonts w:ascii="Times New Roman" w:hAnsi="Times New Roman" w:cs="Times New Roman"/>
          <w:sz w:val="24"/>
          <w:szCs w:val="24"/>
        </w:rPr>
      </w:pPr>
      <w:r w:rsidRPr="00E93D3F">
        <w:rPr>
          <w:rStyle w:val="FootnoteReference"/>
          <w:rFonts w:ascii="Times New Roman" w:hAnsi="Times New Roman" w:cs="Times New Roman"/>
          <w:sz w:val="24"/>
          <w:szCs w:val="24"/>
        </w:rPr>
        <w:footnoteRef/>
      </w:r>
      <w:r w:rsidRPr="00E93D3F">
        <w:rPr>
          <w:rFonts w:ascii="Times New Roman" w:hAnsi="Times New Roman" w:cs="Times New Roman"/>
          <w:sz w:val="24"/>
          <w:szCs w:val="24"/>
        </w:rPr>
        <w:t xml:space="preserve"> Results are qualitatively the same in Panels </w:t>
      </w:r>
      <w:r>
        <w:rPr>
          <w:rFonts w:ascii="Times New Roman" w:hAnsi="Times New Roman" w:cs="Times New Roman"/>
          <w:sz w:val="24"/>
          <w:szCs w:val="24"/>
        </w:rPr>
        <w:t>A</w:t>
      </w:r>
      <w:r w:rsidRPr="00E93D3F">
        <w:rPr>
          <w:rFonts w:ascii="Times New Roman" w:hAnsi="Times New Roman" w:cs="Times New Roman"/>
          <w:sz w:val="24"/>
          <w:szCs w:val="24"/>
        </w:rPr>
        <w:t xml:space="preserve"> and </w:t>
      </w:r>
      <w:r>
        <w:rPr>
          <w:rFonts w:ascii="Times New Roman" w:hAnsi="Times New Roman" w:cs="Times New Roman"/>
          <w:sz w:val="24"/>
          <w:szCs w:val="24"/>
        </w:rPr>
        <w:t>B</w:t>
      </w:r>
      <w:r w:rsidRPr="00E93D3F">
        <w:rPr>
          <w:rFonts w:ascii="Times New Roman" w:hAnsi="Times New Roman" w:cs="Times New Roman"/>
          <w:sz w:val="24"/>
          <w:szCs w:val="24"/>
        </w:rPr>
        <w:t xml:space="preserve"> when </w:t>
      </w:r>
      <w:r w:rsidRPr="00E93D3F">
        <w:rPr>
          <w:rFonts w:ascii="Times New Roman" w:hAnsi="Times New Roman" w:cs="Times New Roman"/>
          <w:i/>
          <w:iCs/>
          <w:sz w:val="24"/>
          <w:szCs w:val="24"/>
        </w:rPr>
        <w:t>ΔSP</w:t>
      </w:r>
      <w:r w:rsidRPr="00E93D3F">
        <w:rPr>
          <w:rFonts w:ascii="Times New Roman" w:hAnsi="Times New Roman" w:cs="Times New Roman"/>
          <w:sz w:val="24"/>
          <w:szCs w:val="24"/>
        </w:rPr>
        <w:t xml:space="preserve"> is </w:t>
      </w:r>
      <w:r w:rsidRPr="001D4906">
        <w:rPr>
          <w:rFonts w:ascii="Times New Roman" w:hAnsi="Times New Roman" w:cs="Times New Roman"/>
          <w:i/>
          <w:iCs/>
          <w:sz w:val="24"/>
          <w:szCs w:val="24"/>
        </w:rPr>
        <w:t>not</w:t>
      </w:r>
      <w:r w:rsidRPr="00E93D3F">
        <w:rPr>
          <w:rFonts w:ascii="Times New Roman" w:hAnsi="Times New Roman" w:cs="Times New Roman"/>
          <w:sz w:val="24"/>
          <w:szCs w:val="24"/>
        </w:rPr>
        <w:t xml:space="preserve"> included as a</w:t>
      </w:r>
      <w:r>
        <w:rPr>
          <w:rFonts w:ascii="Times New Roman" w:hAnsi="Times New Roman" w:cs="Times New Roman"/>
          <w:sz w:val="24"/>
          <w:szCs w:val="24"/>
        </w:rPr>
        <w:t xml:space="preserve">n explanatory </w:t>
      </w:r>
      <w:r w:rsidRPr="00E93D3F">
        <w:rPr>
          <w:rFonts w:ascii="Times New Roman" w:hAnsi="Times New Roman" w:cs="Times New Roman"/>
          <w:sz w:val="24"/>
          <w:szCs w:val="24"/>
        </w:rPr>
        <w:t>variable in the regressions</w:t>
      </w:r>
      <w:r>
        <w:rPr>
          <w:rFonts w:ascii="Times New Roman" w:hAnsi="Times New Roman" w:cs="Times New Roman"/>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52C"/>
    <w:multiLevelType w:val="hybridMultilevel"/>
    <w:tmpl w:val="541876EE"/>
    <w:lvl w:ilvl="0" w:tplc="E83E10AA">
      <w:start w:val="1"/>
      <w:numFmt w:val="upperRoman"/>
      <w:lvlText w:val="%1."/>
      <w:lvlJc w:val="left"/>
      <w:pPr>
        <w:ind w:left="432" w:hanging="43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728C0"/>
    <w:multiLevelType w:val="hybridMultilevel"/>
    <w:tmpl w:val="3E14D74C"/>
    <w:lvl w:ilvl="0" w:tplc="F77E224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C5408"/>
    <w:multiLevelType w:val="hybridMultilevel"/>
    <w:tmpl w:val="A100F828"/>
    <w:lvl w:ilvl="0" w:tplc="276816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A3A66"/>
    <w:multiLevelType w:val="hybridMultilevel"/>
    <w:tmpl w:val="50ECF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377C9"/>
    <w:multiLevelType w:val="hybridMultilevel"/>
    <w:tmpl w:val="36BE7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8D3491"/>
    <w:multiLevelType w:val="hybridMultilevel"/>
    <w:tmpl w:val="D3166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8758DE"/>
    <w:multiLevelType w:val="hybridMultilevel"/>
    <w:tmpl w:val="0F56D756"/>
    <w:lvl w:ilvl="0" w:tplc="FACAD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93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4C1"/>
    <w:rsid w:val="000000D1"/>
    <w:rsid w:val="00001839"/>
    <w:rsid w:val="00001DBA"/>
    <w:rsid w:val="000030EE"/>
    <w:rsid w:val="00003179"/>
    <w:rsid w:val="000036AD"/>
    <w:rsid w:val="000071BB"/>
    <w:rsid w:val="00007714"/>
    <w:rsid w:val="00010912"/>
    <w:rsid w:val="00010A89"/>
    <w:rsid w:val="00010F22"/>
    <w:rsid w:val="00011C51"/>
    <w:rsid w:val="00011EF8"/>
    <w:rsid w:val="00012B17"/>
    <w:rsid w:val="00014F48"/>
    <w:rsid w:val="00015802"/>
    <w:rsid w:val="00016619"/>
    <w:rsid w:val="0001701E"/>
    <w:rsid w:val="00017D65"/>
    <w:rsid w:val="0002135F"/>
    <w:rsid w:val="000215FB"/>
    <w:rsid w:val="00022D11"/>
    <w:rsid w:val="00023C17"/>
    <w:rsid w:val="00023F84"/>
    <w:rsid w:val="00024DA5"/>
    <w:rsid w:val="00024EF9"/>
    <w:rsid w:val="00025467"/>
    <w:rsid w:val="00026673"/>
    <w:rsid w:val="000269C3"/>
    <w:rsid w:val="00026A11"/>
    <w:rsid w:val="000274E2"/>
    <w:rsid w:val="000305B8"/>
    <w:rsid w:val="000316CD"/>
    <w:rsid w:val="00031872"/>
    <w:rsid w:val="000329CC"/>
    <w:rsid w:val="00032A33"/>
    <w:rsid w:val="000330D2"/>
    <w:rsid w:val="00033738"/>
    <w:rsid w:val="0003446D"/>
    <w:rsid w:val="00034827"/>
    <w:rsid w:val="0003524E"/>
    <w:rsid w:val="000352DE"/>
    <w:rsid w:val="000355BD"/>
    <w:rsid w:val="00035AE9"/>
    <w:rsid w:val="00040663"/>
    <w:rsid w:val="0004079C"/>
    <w:rsid w:val="000411FA"/>
    <w:rsid w:val="0004139D"/>
    <w:rsid w:val="00042437"/>
    <w:rsid w:val="00042B80"/>
    <w:rsid w:val="000442C6"/>
    <w:rsid w:val="00044739"/>
    <w:rsid w:val="00044EBA"/>
    <w:rsid w:val="000454CE"/>
    <w:rsid w:val="000458C4"/>
    <w:rsid w:val="0004623B"/>
    <w:rsid w:val="000468CA"/>
    <w:rsid w:val="000469A1"/>
    <w:rsid w:val="00047A76"/>
    <w:rsid w:val="00050D1A"/>
    <w:rsid w:val="0005131C"/>
    <w:rsid w:val="00051914"/>
    <w:rsid w:val="0005319A"/>
    <w:rsid w:val="00053EC8"/>
    <w:rsid w:val="00054560"/>
    <w:rsid w:val="00055EF8"/>
    <w:rsid w:val="00056CB7"/>
    <w:rsid w:val="000570C5"/>
    <w:rsid w:val="00057D9E"/>
    <w:rsid w:val="000602D8"/>
    <w:rsid w:val="000609EE"/>
    <w:rsid w:val="000615AD"/>
    <w:rsid w:val="00061B92"/>
    <w:rsid w:val="00062932"/>
    <w:rsid w:val="00062EA8"/>
    <w:rsid w:val="000634B7"/>
    <w:rsid w:val="00063A2D"/>
    <w:rsid w:val="00066057"/>
    <w:rsid w:val="00066067"/>
    <w:rsid w:val="00067426"/>
    <w:rsid w:val="000703EB"/>
    <w:rsid w:val="000707D2"/>
    <w:rsid w:val="000708B5"/>
    <w:rsid w:val="00070A65"/>
    <w:rsid w:val="00070E15"/>
    <w:rsid w:val="00071732"/>
    <w:rsid w:val="00071A85"/>
    <w:rsid w:val="000728F2"/>
    <w:rsid w:val="00072A5C"/>
    <w:rsid w:val="00074002"/>
    <w:rsid w:val="00074066"/>
    <w:rsid w:val="00074D6A"/>
    <w:rsid w:val="00076281"/>
    <w:rsid w:val="0007694D"/>
    <w:rsid w:val="00076C91"/>
    <w:rsid w:val="00076DF1"/>
    <w:rsid w:val="00077808"/>
    <w:rsid w:val="00077CF4"/>
    <w:rsid w:val="000803B2"/>
    <w:rsid w:val="0008048D"/>
    <w:rsid w:val="000804F7"/>
    <w:rsid w:val="00080E2D"/>
    <w:rsid w:val="0008171B"/>
    <w:rsid w:val="00082AFB"/>
    <w:rsid w:val="00083F48"/>
    <w:rsid w:val="0008407A"/>
    <w:rsid w:val="000848CE"/>
    <w:rsid w:val="00084BB1"/>
    <w:rsid w:val="00084F5D"/>
    <w:rsid w:val="00085BA4"/>
    <w:rsid w:val="00087E6F"/>
    <w:rsid w:val="000917B8"/>
    <w:rsid w:val="00091EE8"/>
    <w:rsid w:val="00092475"/>
    <w:rsid w:val="000930F8"/>
    <w:rsid w:val="00093877"/>
    <w:rsid w:val="000938F1"/>
    <w:rsid w:val="000952DD"/>
    <w:rsid w:val="00095C22"/>
    <w:rsid w:val="00096DE9"/>
    <w:rsid w:val="000979DF"/>
    <w:rsid w:val="000A1DE1"/>
    <w:rsid w:val="000A1E5B"/>
    <w:rsid w:val="000A1EB1"/>
    <w:rsid w:val="000A24CE"/>
    <w:rsid w:val="000A43C3"/>
    <w:rsid w:val="000A537E"/>
    <w:rsid w:val="000A5672"/>
    <w:rsid w:val="000A5BBD"/>
    <w:rsid w:val="000A6506"/>
    <w:rsid w:val="000A65B6"/>
    <w:rsid w:val="000A6CD2"/>
    <w:rsid w:val="000A7C92"/>
    <w:rsid w:val="000B04B7"/>
    <w:rsid w:val="000B087F"/>
    <w:rsid w:val="000B1F8A"/>
    <w:rsid w:val="000B3706"/>
    <w:rsid w:val="000B4C18"/>
    <w:rsid w:val="000B6423"/>
    <w:rsid w:val="000B796D"/>
    <w:rsid w:val="000C0337"/>
    <w:rsid w:val="000C079A"/>
    <w:rsid w:val="000C1067"/>
    <w:rsid w:val="000C14B6"/>
    <w:rsid w:val="000C1638"/>
    <w:rsid w:val="000C1DB2"/>
    <w:rsid w:val="000C2878"/>
    <w:rsid w:val="000C3DAB"/>
    <w:rsid w:val="000C478B"/>
    <w:rsid w:val="000C4F68"/>
    <w:rsid w:val="000C5B5E"/>
    <w:rsid w:val="000C5CC7"/>
    <w:rsid w:val="000D27AB"/>
    <w:rsid w:val="000D3397"/>
    <w:rsid w:val="000D54B7"/>
    <w:rsid w:val="000D5816"/>
    <w:rsid w:val="000D6020"/>
    <w:rsid w:val="000D6E53"/>
    <w:rsid w:val="000D7A26"/>
    <w:rsid w:val="000E0D93"/>
    <w:rsid w:val="000E182E"/>
    <w:rsid w:val="000E41BB"/>
    <w:rsid w:val="000E4F8F"/>
    <w:rsid w:val="000E506F"/>
    <w:rsid w:val="000E667C"/>
    <w:rsid w:val="000F0022"/>
    <w:rsid w:val="000F0508"/>
    <w:rsid w:val="000F07DF"/>
    <w:rsid w:val="000F0E83"/>
    <w:rsid w:val="000F109B"/>
    <w:rsid w:val="000F11DE"/>
    <w:rsid w:val="000F1424"/>
    <w:rsid w:val="000F3CE6"/>
    <w:rsid w:val="000F4401"/>
    <w:rsid w:val="000F4DAA"/>
    <w:rsid w:val="000F59C2"/>
    <w:rsid w:val="000F64BF"/>
    <w:rsid w:val="000F6D32"/>
    <w:rsid w:val="000F734D"/>
    <w:rsid w:val="000F75D1"/>
    <w:rsid w:val="000F75DB"/>
    <w:rsid w:val="00100291"/>
    <w:rsid w:val="00100805"/>
    <w:rsid w:val="00100BD0"/>
    <w:rsid w:val="00101267"/>
    <w:rsid w:val="00101818"/>
    <w:rsid w:val="00101AEA"/>
    <w:rsid w:val="00101DD8"/>
    <w:rsid w:val="0010286A"/>
    <w:rsid w:val="0010347B"/>
    <w:rsid w:val="00103941"/>
    <w:rsid w:val="001056FE"/>
    <w:rsid w:val="00106A63"/>
    <w:rsid w:val="00106B66"/>
    <w:rsid w:val="001072E3"/>
    <w:rsid w:val="00107BCE"/>
    <w:rsid w:val="00107E1E"/>
    <w:rsid w:val="00110810"/>
    <w:rsid w:val="0011177B"/>
    <w:rsid w:val="00111F92"/>
    <w:rsid w:val="00112F51"/>
    <w:rsid w:val="0011325E"/>
    <w:rsid w:val="00113834"/>
    <w:rsid w:val="00113A69"/>
    <w:rsid w:val="00114A55"/>
    <w:rsid w:val="00114D7A"/>
    <w:rsid w:val="00115FA0"/>
    <w:rsid w:val="00116238"/>
    <w:rsid w:val="00116B5F"/>
    <w:rsid w:val="001170FE"/>
    <w:rsid w:val="00117ECF"/>
    <w:rsid w:val="001207AB"/>
    <w:rsid w:val="001210E5"/>
    <w:rsid w:val="00121783"/>
    <w:rsid w:val="00121A4C"/>
    <w:rsid w:val="00121E52"/>
    <w:rsid w:val="001238F0"/>
    <w:rsid w:val="00123912"/>
    <w:rsid w:val="00123AAE"/>
    <w:rsid w:val="00123F68"/>
    <w:rsid w:val="0012448D"/>
    <w:rsid w:val="0012513D"/>
    <w:rsid w:val="00125DAD"/>
    <w:rsid w:val="001269BC"/>
    <w:rsid w:val="0012789F"/>
    <w:rsid w:val="00130456"/>
    <w:rsid w:val="00130B70"/>
    <w:rsid w:val="00130BBB"/>
    <w:rsid w:val="001311DD"/>
    <w:rsid w:val="00131418"/>
    <w:rsid w:val="00131F4D"/>
    <w:rsid w:val="0013227E"/>
    <w:rsid w:val="001327BF"/>
    <w:rsid w:val="0013298D"/>
    <w:rsid w:val="00132A80"/>
    <w:rsid w:val="0013410B"/>
    <w:rsid w:val="00134475"/>
    <w:rsid w:val="00134D87"/>
    <w:rsid w:val="00135A20"/>
    <w:rsid w:val="00135B2C"/>
    <w:rsid w:val="00135F3B"/>
    <w:rsid w:val="0013600E"/>
    <w:rsid w:val="001363A3"/>
    <w:rsid w:val="00136AF3"/>
    <w:rsid w:val="00136EE5"/>
    <w:rsid w:val="00136F3D"/>
    <w:rsid w:val="00137923"/>
    <w:rsid w:val="00137CCA"/>
    <w:rsid w:val="00140339"/>
    <w:rsid w:val="00140653"/>
    <w:rsid w:val="0014079B"/>
    <w:rsid w:val="0014097A"/>
    <w:rsid w:val="00140B0C"/>
    <w:rsid w:val="00140C5F"/>
    <w:rsid w:val="00141EE5"/>
    <w:rsid w:val="00142625"/>
    <w:rsid w:val="00142C7F"/>
    <w:rsid w:val="00143C3E"/>
    <w:rsid w:val="00145A58"/>
    <w:rsid w:val="001474A6"/>
    <w:rsid w:val="001476BC"/>
    <w:rsid w:val="00147F2E"/>
    <w:rsid w:val="001510C6"/>
    <w:rsid w:val="001518A6"/>
    <w:rsid w:val="001518D3"/>
    <w:rsid w:val="00151A35"/>
    <w:rsid w:val="00151BEB"/>
    <w:rsid w:val="0015208D"/>
    <w:rsid w:val="00152700"/>
    <w:rsid w:val="001533D7"/>
    <w:rsid w:val="00153807"/>
    <w:rsid w:val="0015557E"/>
    <w:rsid w:val="00155D53"/>
    <w:rsid w:val="00157B8A"/>
    <w:rsid w:val="00157F6A"/>
    <w:rsid w:val="001607EE"/>
    <w:rsid w:val="00160BE2"/>
    <w:rsid w:val="00161069"/>
    <w:rsid w:val="001625E4"/>
    <w:rsid w:val="00162A1F"/>
    <w:rsid w:val="00163085"/>
    <w:rsid w:val="00163328"/>
    <w:rsid w:val="0016363A"/>
    <w:rsid w:val="00163B25"/>
    <w:rsid w:val="00163E60"/>
    <w:rsid w:val="00164052"/>
    <w:rsid w:val="001657D1"/>
    <w:rsid w:val="0016631A"/>
    <w:rsid w:val="00166E63"/>
    <w:rsid w:val="00166FAC"/>
    <w:rsid w:val="0016741B"/>
    <w:rsid w:val="00170D54"/>
    <w:rsid w:val="00171681"/>
    <w:rsid w:val="00171897"/>
    <w:rsid w:val="00171E6B"/>
    <w:rsid w:val="00172C7C"/>
    <w:rsid w:val="001730C4"/>
    <w:rsid w:val="001740E9"/>
    <w:rsid w:val="0017470A"/>
    <w:rsid w:val="00174A3D"/>
    <w:rsid w:val="00176135"/>
    <w:rsid w:val="00176EF3"/>
    <w:rsid w:val="00177058"/>
    <w:rsid w:val="001809B1"/>
    <w:rsid w:val="00181067"/>
    <w:rsid w:val="0018110F"/>
    <w:rsid w:val="0018367D"/>
    <w:rsid w:val="0018378D"/>
    <w:rsid w:val="00184FFC"/>
    <w:rsid w:val="00185C56"/>
    <w:rsid w:val="00185F2C"/>
    <w:rsid w:val="00185F99"/>
    <w:rsid w:val="00186EE3"/>
    <w:rsid w:val="001872BC"/>
    <w:rsid w:val="001879E0"/>
    <w:rsid w:val="001879E6"/>
    <w:rsid w:val="00187C10"/>
    <w:rsid w:val="00187E78"/>
    <w:rsid w:val="00191266"/>
    <w:rsid w:val="001913F4"/>
    <w:rsid w:val="00191DA4"/>
    <w:rsid w:val="0019210F"/>
    <w:rsid w:val="00192248"/>
    <w:rsid w:val="00192496"/>
    <w:rsid w:val="00192760"/>
    <w:rsid w:val="00192814"/>
    <w:rsid w:val="00192E98"/>
    <w:rsid w:val="001934AF"/>
    <w:rsid w:val="00193ACE"/>
    <w:rsid w:val="00194A1B"/>
    <w:rsid w:val="001963A2"/>
    <w:rsid w:val="00196B83"/>
    <w:rsid w:val="00196E30"/>
    <w:rsid w:val="00196FBC"/>
    <w:rsid w:val="001A05C9"/>
    <w:rsid w:val="001A0868"/>
    <w:rsid w:val="001A1018"/>
    <w:rsid w:val="001A25B1"/>
    <w:rsid w:val="001A3331"/>
    <w:rsid w:val="001A4092"/>
    <w:rsid w:val="001A50CE"/>
    <w:rsid w:val="001A579B"/>
    <w:rsid w:val="001A6282"/>
    <w:rsid w:val="001A6A64"/>
    <w:rsid w:val="001A7EAA"/>
    <w:rsid w:val="001B0442"/>
    <w:rsid w:val="001B0AB3"/>
    <w:rsid w:val="001B142B"/>
    <w:rsid w:val="001B1A53"/>
    <w:rsid w:val="001B2140"/>
    <w:rsid w:val="001B2984"/>
    <w:rsid w:val="001B2FF8"/>
    <w:rsid w:val="001B35BC"/>
    <w:rsid w:val="001B37A7"/>
    <w:rsid w:val="001B4955"/>
    <w:rsid w:val="001B4B36"/>
    <w:rsid w:val="001B5629"/>
    <w:rsid w:val="001B581B"/>
    <w:rsid w:val="001B5C89"/>
    <w:rsid w:val="001B64E7"/>
    <w:rsid w:val="001B6F11"/>
    <w:rsid w:val="001C03A4"/>
    <w:rsid w:val="001C05E7"/>
    <w:rsid w:val="001C2D83"/>
    <w:rsid w:val="001C44A9"/>
    <w:rsid w:val="001C4C70"/>
    <w:rsid w:val="001C5298"/>
    <w:rsid w:val="001C565B"/>
    <w:rsid w:val="001C61E6"/>
    <w:rsid w:val="001C7394"/>
    <w:rsid w:val="001C7FA0"/>
    <w:rsid w:val="001D0229"/>
    <w:rsid w:val="001D09C0"/>
    <w:rsid w:val="001D0E1F"/>
    <w:rsid w:val="001D1E45"/>
    <w:rsid w:val="001D1F7A"/>
    <w:rsid w:val="001D25E4"/>
    <w:rsid w:val="001D2B1A"/>
    <w:rsid w:val="001D33E1"/>
    <w:rsid w:val="001D3412"/>
    <w:rsid w:val="001D4906"/>
    <w:rsid w:val="001D492C"/>
    <w:rsid w:val="001D5947"/>
    <w:rsid w:val="001D59DF"/>
    <w:rsid w:val="001D60AA"/>
    <w:rsid w:val="001D6FB7"/>
    <w:rsid w:val="001D7393"/>
    <w:rsid w:val="001D73AE"/>
    <w:rsid w:val="001D7487"/>
    <w:rsid w:val="001D76E6"/>
    <w:rsid w:val="001D7894"/>
    <w:rsid w:val="001E06B3"/>
    <w:rsid w:val="001E0773"/>
    <w:rsid w:val="001E2D9F"/>
    <w:rsid w:val="001E38A3"/>
    <w:rsid w:val="001E4E20"/>
    <w:rsid w:val="001E5640"/>
    <w:rsid w:val="001E5642"/>
    <w:rsid w:val="001E6C51"/>
    <w:rsid w:val="001E7B42"/>
    <w:rsid w:val="001F000B"/>
    <w:rsid w:val="001F154A"/>
    <w:rsid w:val="001F167A"/>
    <w:rsid w:val="001F2B78"/>
    <w:rsid w:val="001F34CA"/>
    <w:rsid w:val="001F45B9"/>
    <w:rsid w:val="001F529A"/>
    <w:rsid w:val="001F60C0"/>
    <w:rsid w:val="001F6192"/>
    <w:rsid w:val="001F7B27"/>
    <w:rsid w:val="001F7E9F"/>
    <w:rsid w:val="002007A4"/>
    <w:rsid w:val="00200DE0"/>
    <w:rsid w:val="00200F46"/>
    <w:rsid w:val="002011EE"/>
    <w:rsid w:val="00201445"/>
    <w:rsid w:val="00201CD3"/>
    <w:rsid w:val="00201D1A"/>
    <w:rsid w:val="00202079"/>
    <w:rsid w:val="00202CBF"/>
    <w:rsid w:val="002030C2"/>
    <w:rsid w:val="00205B62"/>
    <w:rsid w:val="00206194"/>
    <w:rsid w:val="002067AA"/>
    <w:rsid w:val="002067FD"/>
    <w:rsid w:val="00207701"/>
    <w:rsid w:val="0021011E"/>
    <w:rsid w:val="002102FF"/>
    <w:rsid w:val="002105BC"/>
    <w:rsid w:val="00210884"/>
    <w:rsid w:val="00211242"/>
    <w:rsid w:val="002119E1"/>
    <w:rsid w:val="00212F55"/>
    <w:rsid w:val="002134A3"/>
    <w:rsid w:val="00213CCF"/>
    <w:rsid w:val="0021407B"/>
    <w:rsid w:val="00214994"/>
    <w:rsid w:val="00215123"/>
    <w:rsid w:val="0021523D"/>
    <w:rsid w:val="0021576C"/>
    <w:rsid w:val="00215E07"/>
    <w:rsid w:val="00216028"/>
    <w:rsid w:val="00216324"/>
    <w:rsid w:val="00216BAD"/>
    <w:rsid w:val="00216C69"/>
    <w:rsid w:val="00217065"/>
    <w:rsid w:val="002170DE"/>
    <w:rsid w:val="00217B78"/>
    <w:rsid w:val="00220C3F"/>
    <w:rsid w:val="00221653"/>
    <w:rsid w:val="0022213D"/>
    <w:rsid w:val="00224331"/>
    <w:rsid w:val="0022477E"/>
    <w:rsid w:val="002251E0"/>
    <w:rsid w:val="00225351"/>
    <w:rsid w:val="0022578C"/>
    <w:rsid w:val="00225D33"/>
    <w:rsid w:val="00225F62"/>
    <w:rsid w:val="00226217"/>
    <w:rsid w:val="00226A27"/>
    <w:rsid w:val="00226AC8"/>
    <w:rsid w:val="00226FC8"/>
    <w:rsid w:val="00227341"/>
    <w:rsid w:val="0023051D"/>
    <w:rsid w:val="002305ED"/>
    <w:rsid w:val="00230AB4"/>
    <w:rsid w:val="00230AE7"/>
    <w:rsid w:val="00231AAF"/>
    <w:rsid w:val="00231D99"/>
    <w:rsid w:val="0023238D"/>
    <w:rsid w:val="00232414"/>
    <w:rsid w:val="00234706"/>
    <w:rsid w:val="0023479A"/>
    <w:rsid w:val="00234B61"/>
    <w:rsid w:val="0023653D"/>
    <w:rsid w:val="00236604"/>
    <w:rsid w:val="002367CE"/>
    <w:rsid w:val="00237466"/>
    <w:rsid w:val="00237654"/>
    <w:rsid w:val="00237AA7"/>
    <w:rsid w:val="00237D32"/>
    <w:rsid w:val="0024036B"/>
    <w:rsid w:val="00240F7B"/>
    <w:rsid w:val="00240F80"/>
    <w:rsid w:val="0024101E"/>
    <w:rsid w:val="002419DA"/>
    <w:rsid w:val="002425D7"/>
    <w:rsid w:val="00242700"/>
    <w:rsid w:val="00243BFD"/>
    <w:rsid w:val="0024419E"/>
    <w:rsid w:val="00244217"/>
    <w:rsid w:val="002446A5"/>
    <w:rsid w:val="002450D0"/>
    <w:rsid w:val="002453B3"/>
    <w:rsid w:val="002461CD"/>
    <w:rsid w:val="00246F4E"/>
    <w:rsid w:val="00247008"/>
    <w:rsid w:val="002539E4"/>
    <w:rsid w:val="002539F5"/>
    <w:rsid w:val="00253AEB"/>
    <w:rsid w:val="00253B2A"/>
    <w:rsid w:val="00253B99"/>
    <w:rsid w:val="0025507D"/>
    <w:rsid w:val="00255726"/>
    <w:rsid w:val="002559FF"/>
    <w:rsid w:val="00255CEC"/>
    <w:rsid w:val="00255F98"/>
    <w:rsid w:val="0025645C"/>
    <w:rsid w:val="00256BE8"/>
    <w:rsid w:val="00256F2B"/>
    <w:rsid w:val="00257128"/>
    <w:rsid w:val="00257223"/>
    <w:rsid w:val="002574BE"/>
    <w:rsid w:val="0025751B"/>
    <w:rsid w:val="00257B14"/>
    <w:rsid w:val="00257B44"/>
    <w:rsid w:val="00257CA8"/>
    <w:rsid w:val="00263637"/>
    <w:rsid w:val="002639E3"/>
    <w:rsid w:val="00263A80"/>
    <w:rsid w:val="0026560A"/>
    <w:rsid w:val="002660B8"/>
    <w:rsid w:val="00266B39"/>
    <w:rsid w:val="00267C1D"/>
    <w:rsid w:val="002708D6"/>
    <w:rsid w:val="00271336"/>
    <w:rsid w:val="002721D7"/>
    <w:rsid w:val="002730FE"/>
    <w:rsid w:val="002731DF"/>
    <w:rsid w:val="002732B3"/>
    <w:rsid w:val="00275A9B"/>
    <w:rsid w:val="00277224"/>
    <w:rsid w:val="002772D9"/>
    <w:rsid w:val="00280673"/>
    <w:rsid w:val="002821A9"/>
    <w:rsid w:val="002831D5"/>
    <w:rsid w:val="00283DE5"/>
    <w:rsid w:val="0028452F"/>
    <w:rsid w:val="00285324"/>
    <w:rsid w:val="002857E0"/>
    <w:rsid w:val="00285C87"/>
    <w:rsid w:val="00286983"/>
    <w:rsid w:val="0028735B"/>
    <w:rsid w:val="00287A10"/>
    <w:rsid w:val="00290026"/>
    <w:rsid w:val="00290745"/>
    <w:rsid w:val="0029197C"/>
    <w:rsid w:val="00292F4F"/>
    <w:rsid w:val="00294020"/>
    <w:rsid w:val="00294936"/>
    <w:rsid w:val="00295A0E"/>
    <w:rsid w:val="002963E3"/>
    <w:rsid w:val="00297198"/>
    <w:rsid w:val="002973A5"/>
    <w:rsid w:val="00297DD6"/>
    <w:rsid w:val="002A1D5F"/>
    <w:rsid w:val="002A2232"/>
    <w:rsid w:val="002A24B2"/>
    <w:rsid w:val="002A2A01"/>
    <w:rsid w:val="002A3BC1"/>
    <w:rsid w:val="002A40FB"/>
    <w:rsid w:val="002A5059"/>
    <w:rsid w:val="002A5A95"/>
    <w:rsid w:val="002A5B3E"/>
    <w:rsid w:val="002A5C37"/>
    <w:rsid w:val="002A6C92"/>
    <w:rsid w:val="002A738E"/>
    <w:rsid w:val="002A7CBD"/>
    <w:rsid w:val="002B0CCD"/>
    <w:rsid w:val="002B1211"/>
    <w:rsid w:val="002B15C1"/>
    <w:rsid w:val="002B195C"/>
    <w:rsid w:val="002B1A17"/>
    <w:rsid w:val="002B25D5"/>
    <w:rsid w:val="002B27A9"/>
    <w:rsid w:val="002B280E"/>
    <w:rsid w:val="002B299E"/>
    <w:rsid w:val="002B2DAC"/>
    <w:rsid w:val="002B3EB1"/>
    <w:rsid w:val="002B4B0C"/>
    <w:rsid w:val="002B59D9"/>
    <w:rsid w:val="002B6BAB"/>
    <w:rsid w:val="002B6FEE"/>
    <w:rsid w:val="002B71D3"/>
    <w:rsid w:val="002C07FC"/>
    <w:rsid w:val="002C0AF7"/>
    <w:rsid w:val="002C0C4D"/>
    <w:rsid w:val="002C166C"/>
    <w:rsid w:val="002C25D3"/>
    <w:rsid w:val="002C288F"/>
    <w:rsid w:val="002C2FE9"/>
    <w:rsid w:val="002C328F"/>
    <w:rsid w:val="002C39EF"/>
    <w:rsid w:val="002C3B89"/>
    <w:rsid w:val="002C3E5A"/>
    <w:rsid w:val="002C46B5"/>
    <w:rsid w:val="002C5311"/>
    <w:rsid w:val="002C533F"/>
    <w:rsid w:val="002C5607"/>
    <w:rsid w:val="002C585B"/>
    <w:rsid w:val="002C5C59"/>
    <w:rsid w:val="002D12B1"/>
    <w:rsid w:val="002D1511"/>
    <w:rsid w:val="002D15BA"/>
    <w:rsid w:val="002D3CBB"/>
    <w:rsid w:val="002D4281"/>
    <w:rsid w:val="002D5293"/>
    <w:rsid w:val="002D56BA"/>
    <w:rsid w:val="002D5729"/>
    <w:rsid w:val="002D58D1"/>
    <w:rsid w:val="002D5949"/>
    <w:rsid w:val="002D5E47"/>
    <w:rsid w:val="002D6019"/>
    <w:rsid w:val="002D650A"/>
    <w:rsid w:val="002D6B5C"/>
    <w:rsid w:val="002D6ED8"/>
    <w:rsid w:val="002D6F9B"/>
    <w:rsid w:val="002D71A8"/>
    <w:rsid w:val="002E0881"/>
    <w:rsid w:val="002E0FCB"/>
    <w:rsid w:val="002E12AD"/>
    <w:rsid w:val="002E39AB"/>
    <w:rsid w:val="002E3A06"/>
    <w:rsid w:val="002E3D3D"/>
    <w:rsid w:val="002E3DA7"/>
    <w:rsid w:val="002E3DCA"/>
    <w:rsid w:val="002E4A19"/>
    <w:rsid w:val="002E51BD"/>
    <w:rsid w:val="002E547E"/>
    <w:rsid w:val="002E6966"/>
    <w:rsid w:val="002E7B01"/>
    <w:rsid w:val="002E7D05"/>
    <w:rsid w:val="002F022C"/>
    <w:rsid w:val="002F0A52"/>
    <w:rsid w:val="002F16D3"/>
    <w:rsid w:val="002F20B5"/>
    <w:rsid w:val="002F2A67"/>
    <w:rsid w:val="002F307C"/>
    <w:rsid w:val="002F3503"/>
    <w:rsid w:val="002F4A81"/>
    <w:rsid w:val="002F4B65"/>
    <w:rsid w:val="002F5152"/>
    <w:rsid w:val="002F5DEA"/>
    <w:rsid w:val="002F6D5D"/>
    <w:rsid w:val="002F70C7"/>
    <w:rsid w:val="002F76C3"/>
    <w:rsid w:val="002F7ACB"/>
    <w:rsid w:val="002F7F27"/>
    <w:rsid w:val="00300080"/>
    <w:rsid w:val="00301AAB"/>
    <w:rsid w:val="003020C7"/>
    <w:rsid w:val="00302C8A"/>
    <w:rsid w:val="00303F7E"/>
    <w:rsid w:val="00304409"/>
    <w:rsid w:val="003049BC"/>
    <w:rsid w:val="003072EF"/>
    <w:rsid w:val="00307763"/>
    <w:rsid w:val="00310370"/>
    <w:rsid w:val="00310837"/>
    <w:rsid w:val="00310A92"/>
    <w:rsid w:val="00310F60"/>
    <w:rsid w:val="00313DB3"/>
    <w:rsid w:val="0031486B"/>
    <w:rsid w:val="00314A60"/>
    <w:rsid w:val="00314F7C"/>
    <w:rsid w:val="003150D8"/>
    <w:rsid w:val="003156E3"/>
    <w:rsid w:val="00315EFB"/>
    <w:rsid w:val="00316E0C"/>
    <w:rsid w:val="00317768"/>
    <w:rsid w:val="00317E3B"/>
    <w:rsid w:val="003200FD"/>
    <w:rsid w:val="00320313"/>
    <w:rsid w:val="003207F0"/>
    <w:rsid w:val="00320A78"/>
    <w:rsid w:val="003214D5"/>
    <w:rsid w:val="00321C2B"/>
    <w:rsid w:val="00321EDC"/>
    <w:rsid w:val="00322310"/>
    <w:rsid w:val="003225A8"/>
    <w:rsid w:val="0032526C"/>
    <w:rsid w:val="003257D8"/>
    <w:rsid w:val="00325DC1"/>
    <w:rsid w:val="003266B5"/>
    <w:rsid w:val="00330552"/>
    <w:rsid w:val="00330B9D"/>
    <w:rsid w:val="003313A5"/>
    <w:rsid w:val="00331929"/>
    <w:rsid w:val="00331CD8"/>
    <w:rsid w:val="00331D65"/>
    <w:rsid w:val="00331F2C"/>
    <w:rsid w:val="00332BA2"/>
    <w:rsid w:val="00332D72"/>
    <w:rsid w:val="00333AB6"/>
    <w:rsid w:val="00333C1B"/>
    <w:rsid w:val="00333D83"/>
    <w:rsid w:val="00334309"/>
    <w:rsid w:val="00334BF0"/>
    <w:rsid w:val="003351E6"/>
    <w:rsid w:val="003356F5"/>
    <w:rsid w:val="00336E5E"/>
    <w:rsid w:val="00337383"/>
    <w:rsid w:val="00337B62"/>
    <w:rsid w:val="00340019"/>
    <w:rsid w:val="003404DC"/>
    <w:rsid w:val="00340BC9"/>
    <w:rsid w:val="00340E36"/>
    <w:rsid w:val="003410B8"/>
    <w:rsid w:val="003414C6"/>
    <w:rsid w:val="003418ED"/>
    <w:rsid w:val="00341E3E"/>
    <w:rsid w:val="003431D0"/>
    <w:rsid w:val="003434FD"/>
    <w:rsid w:val="0034368F"/>
    <w:rsid w:val="00343A80"/>
    <w:rsid w:val="00344B81"/>
    <w:rsid w:val="003451F0"/>
    <w:rsid w:val="003452A5"/>
    <w:rsid w:val="00345563"/>
    <w:rsid w:val="00345D3F"/>
    <w:rsid w:val="00346084"/>
    <w:rsid w:val="00346387"/>
    <w:rsid w:val="0034655C"/>
    <w:rsid w:val="00346BD5"/>
    <w:rsid w:val="003474CB"/>
    <w:rsid w:val="00350B39"/>
    <w:rsid w:val="00350DF4"/>
    <w:rsid w:val="00351B61"/>
    <w:rsid w:val="00352486"/>
    <w:rsid w:val="003529E0"/>
    <w:rsid w:val="003540BA"/>
    <w:rsid w:val="00355F4E"/>
    <w:rsid w:val="00356EDA"/>
    <w:rsid w:val="003575E9"/>
    <w:rsid w:val="00357B74"/>
    <w:rsid w:val="003600E7"/>
    <w:rsid w:val="00362593"/>
    <w:rsid w:val="003625DA"/>
    <w:rsid w:val="003629F2"/>
    <w:rsid w:val="0036356B"/>
    <w:rsid w:val="00364181"/>
    <w:rsid w:val="003648DC"/>
    <w:rsid w:val="00364CE5"/>
    <w:rsid w:val="00365166"/>
    <w:rsid w:val="0036620F"/>
    <w:rsid w:val="003712FA"/>
    <w:rsid w:val="003736C1"/>
    <w:rsid w:val="00373B95"/>
    <w:rsid w:val="003749C3"/>
    <w:rsid w:val="00374BEF"/>
    <w:rsid w:val="00374D13"/>
    <w:rsid w:val="0037612A"/>
    <w:rsid w:val="003763DB"/>
    <w:rsid w:val="00376689"/>
    <w:rsid w:val="00380974"/>
    <w:rsid w:val="00380DED"/>
    <w:rsid w:val="00381983"/>
    <w:rsid w:val="003829C6"/>
    <w:rsid w:val="00383703"/>
    <w:rsid w:val="00385246"/>
    <w:rsid w:val="003857F5"/>
    <w:rsid w:val="00385930"/>
    <w:rsid w:val="0038635D"/>
    <w:rsid w:val="003864C3"/>
    <w:rsid w:val="0038795A"/>
    <w:rsid w:val="0039044B"/>
    <w:rsid w:val="003906CB"/>
    <w:rsid w:val="00391824"/>
    <w:rsid w:val="00393A1C"/>
    <w:rsid w:val="00394215"/>
    <w:rsid w:val="00395007"/>
    <w:rsid w:val="00395A0C"/>
    <w:rsid w:val="003A0141"/>
    <w:rsid w:val="003A01F1"/>
    <w:rsid w:val="003A09A0"/>
    <w:rsid w:val="003A1B02"/>
    <w:rsid w:val="003A2411"/>
    <w:rsid w:val="003A3268"/>
    <w:rsid w:val="003A357C"/>
    <w:rsid w:val="003A38B0"/>
    <w:rsid w:val="003A3B76"/>
    <w:rsid w:val="003A5231"/>
    <w:rsid w:val="003A5255"/>
    <w:rsid w:val="003A5387"/>
    <w:rsid w:val="003A54C7"/>
    <w:rsid w:val="003A5D5D"/>
    <w:rsid w:val="003A5DFF"/>
    <w:rsid w:val="003A65DD"/>
    <w:rsid w:val="003A74C8"/>
    <w:rsid w:val="003B0663"/>
    <w:rsid w:val="003B104E"/>
    <w:rsid w:val="003B1826"/>
    <w:rsid w:val="003B19DE"/>
    <w:rsid w:val="003B24F8"/>
    <w:rsid w:val="003B346F"/>
    <w:rsid w:val="003B3CBA"/>
    <w:rsid w:val="003B4444"/>
    <w:rsid w:val="003B4520"/>
    <w:rsid w:val="003B5083"/>
    <w:rsid w:val="003B5835"/>
    <w:rsid w:val="003B5BE6"/>
    <w:rsid w:val="003B6273"/>
    <w:rsid w:val="003B7861"/>
    <w:rsid w:val="003B78B2"/>
    <w:rsid w:val="003C202D"/>
    <w:rsid w:val="003C290B"/>
    <w:rsid w:val="003C2932"/>
    <w:rsid w:val="003C3849"/>
    <w:rsid w:val="003C47F4"/>
    <w:rsid w:val="003C4B99"/>
    <w:rsid w:val="003C4DF6"/>
    <w:rsid w:val="003C5ADA"/>
    <w:rsid w:val="003C71CD"/>
    <w:rsid w:val="003D203D"/>
    <w:rsid w:val="003D3317"/>
    <w:rsid w:val="003D36B6"/>
    <w:rsid w:val="003D40B0"/>
    <w:rsid w:val="003D4310"/>
    <w:rsid w:val="003D5985"/>
    <w:rsid w:val="003D5ED6"/>
    <w:rsid w:val="003D631B"/>
    <w:rsid w:val="003D6CA1"/>
    <w:rsid w:val="003D74E3"/>
    <w:rsid w:val="003E0587"/>
    <w:rsid w:val="003E12F2"/>
    <w:rsid w:val="003E28E2"/>
    <w:rsid w:val="003E2E88"/>
    <w:rsid w:val="003E3DCC"/>
    <w:rsid w:val="003E3E1B"/>
    <w:rsid w:val="003E644A"/>
    <w:rsid w:val="003E7505"/>
    <w:rsid w:val="003E7E5B"/>
    <w:rsid w:val="003E7E9B"/>
    <w:rsid w:val="003F05C9"/>
    <w:rsid w:val="003F05DB"/>
    <w:rsid w:val="003F0853"/>
    <w:rsid w:val="003F1DDE"/>
    <w:rsid w:val="003F1ECE"/>
    <w:rsid w:val="003F2D9C"/>
    <w:rsid w:val="003F3993"/>
    <w:rsid w:val="003F4598"/>
    <w:rsid w:val="003F5DB3"/>
    <w:rsid w:val="003F64BF"/>
    <w:rsid w:val="003F69BB"/>
    <w:rsid w:val="003F69E5"/>
    <w:rsid w:val="003F6B61"/>
    <w:rsid w:val="003F738A"/>
    <w:rsid w:val="003F7C8E"/>
    <w:rsid w:val="00402E76"/>
    <w:rsid w:val="0040338A"/>
    <w:rsid w:val="004033B7"/>
    <w:rsid w:val="00404071"/>
    <w:rsid w:val="00404B16"/>
    <w:rsid w:val="00404DA0"/>
    <w:rsid w:val="00404EB6"/>
    <w:rsid w:val="00405C9C"/>
    <w:rsid w:val="00405F9B"/>
    <w:rsid w:val="00406652"/>
    <w:rsid w:val="00406AB8"/>
    <w:rsid w:val="00407172"/>
    <w:rsid w:val="004105EA"/>
    <w:rsid w:val="00410602"/>
    <w:rsid w:val="00410ACF"/>
    <w:rsid w:val="00411039"/>
    <w:rsid w:val="004115C6"/>
    <w:rsid w:val="00413782"/>
    <w:rsid w:val="004139AC"/>
    <w:rsid w:val="004141B1"/>
    <w:rsid w:val="00414CD2"/>
    <w:rsid w:val="00414F1F"/>
    <w:rsid w:val="00415880"/>
    <w:rsid w:val="00416290"/>
    <w:rsid w:val="00416F71"/>
    <w:rsid w:val="0042094F"/>
    <w:rsid w:val="00420F4F"/>
    <w:rsid w:val="004210F6"/>
    <w:rsid w:val="00421480"/>
    <w:rsid w:val="0042184B"/>
    <w:rsid w:val="00421DE4"/>
    <w:rsid w:val="004224D7"/>
    <w:rsid w:val="00422966"/>
    <w:rsid w:val="00422E8F"/>
    <w:rsid w:val="00422F34"/>
    <w:rsid w:val="004242F1"/>
    <w:rsid w:val="00424860"/>
    <w:rsid w:val="00425EB5"/>
    <w:rsid w:val="00425FA1"/>
    <w:rsid w:val="00426181"/>
    <w:rsid w:val="00426799"/>
    <w:rsid w:val="00426B98"/>
    <w:rsid w:val="00427F59"/>
    <w:rsid w:val="004302D0"/>
    <w:rsid w:val="004310CA"/>
    <w:rsid w:val="00431ED9"/>
    <w:rsid w:val="004321D9"/>
    <w:rsid w:val="00432756"/>
    <w:rsid w:val="00433119"/>
    <w:rsid w:val="00433944"/>
    <w:rsid w:val="0043452A"/>
    <w:rsid w:val="0043562A"/>
    <w:rsid w:val="00435BE0"/>
    <w:rsid w:val="00437568"/>
    <w:rsid w:val="004376B2"/>
    <w:rsid w:val="00441722"/>
    <w:rsid w:val="00441A70"/>
    <w:rsid w:val="00441C5F"/>
    <w:rsid w:val="00442EC3"/>
    <w:rsid w:val="00443811"/>
    <w:rsid w:val="00443F54"/>
    <w:rsid w:val="0044441F"/>
    <w:rsid w:val="00444B07"/>
    <w:rsid w:val="0044576D"/>
    <w:rsid w:val="00445E7C"/>
    <w:rsid w:val="00445EB9"/>
    <w:rsid w:val="00446283"/>
    <w:rsid w:val="0044754E"/>
    <w:rsid w:val="00447C39"/>
    <w:rsid w:val="0045024B"/>
    <w:rsid w:val="004504E2"/>
    <w:rsid w:val="00450855"/>
    <w:rsid w:val="00450D6B"/>
    <w:rsid w:val="004530D9"/>
    <w:rsid w:val="004531AD"/>
    <w:rsid w:val="004537B5"/>
    <w:rsid w:val="00454071"/>
    <w:rsid w:val="00454507"/>
    <w:rsid w:val="00454B44"/>
    <w:rsid w:val="00455935"/>
    <w:rsid w:val="00455B49"/>
    <w:rsid w:val="00456084"/>
    <w:rsid w:val="00456EE7"/>
    <w:rsid w:val="004607FA"/>
    <w:rsid w:val="004611B4"/>
    <w:rsid w:val="004619AD"/>
    <w:rsid w:val="00464421"/>
    <w:rsid w:val="00464CDD"/>
    <w:rsid w:val="00464E10"/>
    <w:rsid w:val="0046591A"/>
    <w:rsid w:val="004675E3"/>
    <w:rsid w:val="00467B43"/>
    <w:rsid w:val="00470D9D"/>
    <w:rsid w:val="004713F4"/>
    <w:rsid w:val="004715DF"/>
    <w:rsid w:val="004729D0"/>
    <w:rsid w:val="00472BAA"/>
    <w:rsid w:val="0047339A"/>
    <w:rsid w:val="00473909"/>
    <w:rsid w:val="00474690"/>
    <w:rsid w:val="0047469A"/>
    <w:rsid w:val="00474911"/>
    <w:rsid w:val="00474965"/>
    <w:rsid w:val="00474EA9"/>
    <w:rsid w:val="004759A4"/>
    <w:rsid w:val="00475CEF"/>
    <w:rsid w:val="00476C82"/>
    <w:rsid w:val="00480834"/>
    <w:rsid w:val="00480BDD"/>
    <w:rsid w:val="00481989"/>
    <w:rsid w:val="00482534"/>
    <w:rsid w:val="00482AE2"/>
    <w:rsid w:val="00483964"/>
    <w:rsid w:val="004844AF"/>
    <w:rsid w:val="004848AF"/>
    <w:rsid w:val="004857DB"/>
    <w:rsid w:val="00485DD1"/>
    <w:rsid w:val="0048637C"/>
    <w:rsid w:val="0048683B"/>
    <w:rsid w:val="00486CE8"/>
    <w:rsid w:val="00487A6A"/>
    <w:rsid w:val="0049060A"/>
    <w:rsid w:val="00490E0B"/>
    <w:rsid w:val="00491884"/>
    <w:rsid w:val="00492E46"/>
    <w:rsid w:val="004938F5"/>
    <w:rsid w:val="0049392E"/>
    <w:rsid w:val="00493C97"/>
    <w:rsid w:val="004947E3"/>
    <w:rsid w:val="004976E7"/>
    <w:rsid w:val="00497ED8"/>
    <w:rsid w:val="004A0F3B"/>
    <w:rsid w:val="004A124B"/>
    <w:rsid w:val="004A195F"/>
    <w:rsid w:val="004A2143"/>
    <w:rsid w:val="004A22EB"/>
    <w:rsid w:val="004A30F9"/>
    <w:rsid w:val="004A3297"/>
    <w:rsid w:val="004A32B2"/>
    <w:rsid w:val="004A39E4"/>
    <w:rsid w:val="004A4805"/>
    <w:rsid w:val="004A5B1C"/>
    <w:rsid w:val="004A5D8D"/>
    <w:rsid w:val="004A6112"/>
    <w:rsid w:val="004A7A85"/>
    <w:rsid w:val="004A7EB3"/>
    <w:rsid w:val="004B0E67"/>
    <w:rsid w:val="004B12A2"/>
    <w:rsid w:val="004B134E"/>
    <w:rsid w:val="004B2AF0"/>
    <w:rsid w:val="004B2D33"/>
    <w:rsid w:val="004B3D01"/>
    <w:rsid w:val="004B3D28"/>
    <w:rsid w:val="004B4574"/>
    <w:rsid w:val="004B62AE"/>
    <w:rsid w:val="004B660F"/>
    <w:rsid w:val="004B6644"/>
    <w:rsid w:val="004B70D5"/>
    <w:rsid w:val="004B71F5"/>
    <w:rsid w:val="004B737E"/>
    <w:rsid w:val="004B7905"/>
    <w:rsid w:val="004C026C"/>
    <w:rsid w:val="004C09EE"/>
    <w:rsid w:val="004C382B"/>
    <w:rsid w:val="004C3860"/>
    <w:rsid w:val="004C445E"/>
    <w:rsid w:val="004C4C3C"/>
    <w:rsid w:val="004C543D"/>
    <w:rsid w:val="004C5ABC"/>
    <w:rsid w:val="004C5BDC"/>
    <w:rsid w:val="004C5E57"/>
    <w:rsid w:val="004C6AA2"/>
    <w:rsid w:val="004C768F"/>
    <w:rsid w:val="004D077D"/>
    <w:rsid w:val="004D0F9D"/>
    <w:rsid w:val="004D1285"/>
    <w:rsid w:val="004D1A81"/>
    <w:rsid w:val="004D2154"/>
    <w:rsid w:val="004D2C53"/>
    <w:rsid w:val="004D3D28"/>
    <w:rsid w:val="004D456C"/>
    <w:rsid w:val="004D4A02"/>
    <w:rsid w:val="004D5BB2"/>
    <w:rsid w:val="004D5CC0"/>
    <w:rsid w:val="004D6DE3"/>
    <w:rsid w:val="004D70B8"/>
    <w:rsid w:val="004D722F"/>
    <w:rsid w:val="004D7CD0"/>
    <w:rsid w:val="004E05AC"/>
    <w:rsid w:val="004E13DF"/>
    <w:rsid w:val="004E1977"/>
    <w:rsid w:val="004E2570"/>
    <w:rsid w:val="004E35BC"/>
    <w:rsid w:val="004E4AB2"/>
    <w:rsid w:val="004E5884"/>
    <w:rsid w:val="004E5E0C"/>
    <w:rsid w:val="004E7416"/>
    <w:rsid w:val="004E79D8"/>
    <w:rsid w:val="004E7DE4"/>
    <w:rsid w:val="004F058F"/>
    <w:rsid w:val="004F0F84"/>
    <w:rsid w:val="004F13A8"/>
    <w:rsid w:val="004F1AF0"/>
    <w:rsid w:val="004F1B25"/>
    <w:rsid w:val="004F333F"/>
    <w:rsid w:val="004F3647"/>
    <w:rsid w:val="004F3B33"/>
    <w:rsid w:val="004F41FB"/>
    <w:rsid w:val="004F447C"/>
    <w:rsid w:val="004F4CE8"/>
    <w:rsid w:val="004F4DA8"/>
    <w:rsid w:val="004F6774"/>
    <w:rsid w:val="004F7759"/>
    <w:rsid w:val="004F7AAD"/>
    <w:rsid w:val="0050097A"/>
    <w:rsid w:val="00501069"/>
    <w:rsid w:val="00501BBD"/>
    <w:rsid w:val="00501BFB"/>
    <w:rsid w:val="00502B81"/>
    <w:rsid w:val="00502C07"/>
    <w:rsid w:val="00503D2A"/>
    <w:rsid w:val="00504885"/>
    <w:rsid w:val="005052F6"/>
    <w:rsid w:val="00505E05"/>
    <w:rsid w:val="00505F85"/>
    <w:rsid w:val="00506FEA"/>
    <w:rsid w:val="005079AE"/>
    <w:rsid w:val="0051020D"/>
    <w:rsid w:val="00510AB8"/>
    <w:rsid w:val="00511C3F"/>
    <w:rsid w:val="00512A7C"/>
    <w:rsid w:val="00512DD8"/>
    <w:rsid w:val="00513881"/>
    <w:rsid w:val="00513933"/>
    <w:rsid w:val="00513E3A"/>
    <w:rsid w:val="00514427"/>
    <w:rsid w:val="00515858"/>
    <w:rsid w:val="00515A65"/>
    <w:rsid w:val="00515F66"/>
    <w:rsid w:val="00517112"/>
    <w:rsid w:val="00521854"/>
    <w:rsid w:val="00521E97"/>
    <w:rsid w:val="005244F1"/>
    <w:rsid w:val="00524C5C"/>
    <w:rsid w:val="005250BB"/>
    <w:rsid w:val="00525F28"/>
    <w:rsid w:val="00526179"/>
    <w:rsid w:val="005275B0"/>
    <w:rsid w:val="0053343F"/>
    <w:rsid w:val="00533B56"/>
    <w:rsid w:val="00534EAB"/>
    <w:rsid w:val="00535271"/>
    <w:rsid w:val="00535A78"/>
    <w:rsid w:val="005402F1"/>
    <w:rsid w:val="005403F2"/>
    <w:rsid w:val="005405EA"/>
    <w:rsid w:val="0054231E"/>
    <w:rsid w:val="005428AD"/>
    <w:rsid w:val="0054290F"/>
    <w:rsid w:val="00543496"/>
    <w:rsid w:val="00543ECC"/>
    <w:rsid w:val="00545B44"/>
    <w:rsid w:val="00545CE6"/>
    <w:rsid w:val="00546279"/>
    <w:rsid w:val="005471D7"/>
    <w:rsid w:val="005516DB"/>
    <w:rsid w:val="00551F98"/>
    <w:rsid w:val="005534C3"/>
    <w:rsid w:val="005545F7"/>
    <w:rsid w:val="005555CC"/>
    <w:rsid w:val="00555D02"/>
    <w:rsid w:val="00555F06"/>
    <w:rsid w:val="005569E8"/>
    <w:rsid w:val="0055769B"/>
    <w:rsid w:val="0055775C"/>
    <w:rsid w:val="00560102"/>
    <w:rsid w:val="00560367"/>
    <w:rsid w:val="00560695"/>
    <w:rsid w:val="005616F4"/>
    <w:rsid w:val="005619B4"/>
    <w:rsid w:val="00562DAE"/>
    <w:rsid w:val="00563901"/>
    <w:rsid w:val="00563BFD"/>
    <w:rsid w:val="00563C5E"/>
    <w:rsid w:val="005644A8"/>
    <w:rsid w:val="005655BE"/>
    <w:rsid w:val="00565644"/>
    <w:rsid w:val="00565EC7"/>
    <w:rsid w:val="00566C51"/>
    <w:rsid w:val="00567CB3"/>
    <w:rsid w:val="00567E8A"/>
    <w:rsid w:val="0057090F"/>
    <w:rsid w:val="005716E8"/>
    <w:rsid w:val="005717DC"/>
    <w:rsid w:val="00572727"/>
    <w:rsid w:val="005734D0"/>
    <w:rsid w:val="005745AE"/>
    <w:rsid w:val="005759EC"/>
    <w:rsid w:val="00575BA0"/>
    <w:rsid w:val="00575DAA"/>
    <w:rsid w:val="0057799E"/>
    <w:rsid w:val="005804CC"/>
    <w:rsid w:val="0058064E"/>
    <w:rsid w:val="00580759"/>
    <w:rsid w:val="0058088C"/>
    <w:rsid w:val="0058103D"/>
    <w:rsid w:val="00581331"/>
    <w:rsid w:val="00581C40"/>
    <w:rsid w:val="00583C47"/>
    <w:rsid w:val="00583ECE"/>
    <w:rsid w:val="00584AF6"/>
    <w:rsid w:val="005854CE"/>
    <w:rsid w:val="00585A70"/>
    <w:rsid w:val="00586C0B"/>
    <w:rsid w:val="00586F92"/>
    <w:rsid w:val="005875FF"/>
    <w:rsid w:val="00587944"/>
    <w:rsid w:val="0058795E"/>
    <w:rsid w:val="0059064E"/>
    <w:rsid w:val="00590C70"/>
    <w:rsid w:val="00590F0D"/>
    <w:rsid w:val="00591192"/>
    <w:rsid w:val="00591C3C"/>
    <w:rsid w:val="00592791"/>
    <w:rsid w:val="00593378"/>
    <w:rsid w:val="0059407D"/>
    <w:rsid w:val="00594D81"/>
    <w:rsid w:val="00594F3E"/>
    <w:rsid w:val="00595051"/>
    <w:rsid w:val="005963B2"/>
    <w:rsid w:val="00596A29"/>
    <w:rsid w:val="00596CC4"/>
    <w:rsid w:val="00597172"/>
    <w:rsid w:val="005975A3"/>
    <w:rsid w:val="005976AD"/>
    <w:rsid w:val="005A0235"/>
    <w:rsid w:val="005A04C9"/>
    <w:rsid w:val="005A0CF5"/>
    <w:rsid w:val="005A179E"/>
    <w:rsid w:val="005A25B2"/>
    <w:rsid w:val="005A3383"/>
    <w:rsid w:val="005A347D"/>
    <w:rsid w:val="005A5A1B"/>
    <w:rsid w:val="005A5BEF"/>
    <w:rsid w:val="005A60CC"/>
    <w:rsid w:val="005A61A5"/>
    <w:rsid w:val="005A6358"/>
    <w:rsid w:val="005A66D7"/>
    <w:rsid w:val="005A66F3"/>
    <w:rsid w:val="005A729E"/>
    <w:rsid w:val="005A7567"/>
    <w:rsid w:val="005A7F5D"/>
    <w:rsid w:val="005B19FF"/>
    <w:rsid w:val="005B2C0F"/>
    <w:rsid w:val="005B3492"/>
    <w:rsid w:val="005B3AB9"/>
    <w:rsid w:val="005B4364"/>
    <w:rsid w:val="005B4ABC"/>
    <w:rsid w:val="005B5053"/>
    <w:rsid w:val="005B508B"/>
    <w:rsid w:val="005B5B87"/>
    <w:rsid w:val="005B69CB"/>
    <w:rsid w:val="005B7670"/>
    <w:rsid w:val="005B7778"/>
    <w:rsid w:val="005C15BF"/>
    <w:rsid w:val="005C2194"/>
    <w:rsid w:val="005C2441"/>
    <w:rsid w:val="005C346B"/>
    <w:rsid w:val="005C3E48"/>
    <w:rsid w:val="005C3F1B"/>
    <w:rsid w:val="005C43F8"/>
    <w:rsid w:val="005C4EEC"/>
    <w:rsid w:val="005C612F"/>
    <w:rsid w:val="005C6986"/>
    <w:rsid w:val="005C6BFD"/>
    <w:rsid w:val="005C6EA3"/>
    <w:rsid w:val="005C7952"/>
    <w:rsid w:val="005C7ACB"/>
    <w:rsid w:val="005D0A9C"/>
    <w:rsid w:val="005D0F7F"/>
    <w:rsid w:val="005D128A"/>
    <w:rsid w:val="005D1B69"/>
    <w:rsid w:val="005D2D92"/>
    <w:rsid w:val="005D2F2B"/>
    <w:rsid w:val="005D39D9"/>
    <w:rsid w:val="005D3E91"/>
    <w:rsid w:val="005D422E"/>
    <w:rsid w:val="005D4ADD"/>
    <w:rsid w:val="005D558C"/>
    <w:rsid w:val="005D5C0B"/>
    <w:rsid w:val="005D6E7E"/>
    <w:rsid w:val="005D70D1"/>
    <w:rsid w:val="005D7CAD"/>
    <w:rsid w:val="005E0161"/>
    <w:rsid w:val="005E04AF"/>
    <w:rsid w:val="005E11FC"/>
    <w:rsid w:val="005E16F7"/>
    <w:rsid w:val="005E1E98"/>
    <w:rsid w:val="005E254D"/>
    <w:rsid w:val="005E25B2"/>
    <w:rsid w:val="005E265E"/>
    <w:rsid w:val="005E2B05"/>
    <w:rsid w:val="005E31EC"/>
    <w:rsid w:val="005E3DBB"/>
    <w:rsid w:val="005E6307"/>
    <w:rsid w:val="005E7687"/>
    <w:rsid w:val="005E7C39"/>
    <w:rsid w:val="005F03C2"/>
    <w:rsid w:val="005F13D4"/>
    <w:rsid w:val="005F1B4D"/>
    <w:rsid w:val="005F28D5"/>
    <w:rsid w:val="005F3894"/>
    <w:rsid w:val="005F3A40"/>
    <w:rsid w:val="005F4360"/>
    <w:rsid w:val="005F4F5D"/>
    <w:rsid w:val="005F5276"/>
    <w:rsid w:val="005F563F"/>
    <w:rsid w:val="005F59A5"/>
    <w:rsid w:val="005F6785"/>
    <w:rsid w:val="005F77F3"/>
    <w:rsid w:val="00600723"/>
    <w:rsid w:val="006021F8"/>
    <w:rsid w:val="006028D5"/>
    <w:rsid w:val="00602AB9"/>
    <w:rsid w:val="00602B13"/>
    <w:rsid w:val="00603DC0"/>
    <w:rsid w:val="006042A1"/>
    <w:rsid w:val="00604A18"/>
    <w:rsid w:val="00604A73"/>
    <w:rsid w:val="006053CD"/>
    <w:rsid w:val="006064EE"/>
    <w:rsid w:val="0060658E"/>
    <w:rsid w:val="00606ACD"/>
    <w:rsid w:val="00606B25"/>
    <w:rsid w:val="00607269"/>
    <w:rsid w:val="00607779"/>
    <w:rsid w:val="00610B80"/>
    <w:rsid w:val="00611745"/>
    <w:rsid w:val="00612009"/>
    <w:rsid w:val="0061235D"/>
    <w:rsid w:val="00612E69"/>
    <w:rsid w:val="00613164"/>
    <w:rsid w:val="00613747"/>
    <w:rsid w:val="006138F6"/>
    <w:rsid w:val="00614B24"/>
    <w:rsid w:val="00615BE6"/>
    <w:rsid w:val="00615DE6"/>
    <w:rsid w:val="00616C20"/>
    <w:rsid w:val="00616F04"/>
    <w:rsid w:val="006170F7"/>
    <w:rsid w:val="0061784D"/>
    <w:rsid w:val="00620A66"/>
    <w:rsid w:val="0062116F"/>
    <w:rsid w:val="00621647"/>
    <w:rsid w:val="00621782"/>
    <w:rsid w:val="00622992"/>
    <w:rsid w:val="0062427C"/>
    <w:rsid w:val="006244E5"/>
    <w:rsid w:val="00624A50"/>
    <w:rsid w:val="00624B45"/>
    <w:rsid w:val="006252E1"/>
    <w:rsid w:val="00625E8E"/>
    <w:rsid w:val="00625FB9"/>
    <w:rsid w:val="006260A0"/>
    <w:rsid w:val="00626643"/>
    <w:rsid w:val="00627941"/>
    <w:rsid w:val="0063051F"/>
    <w:rsid w:val="0063058C"/>
    <w:rsid w:val="0063073C"/>
    <w:rsid w:val="00631597"/>
    <w:rsid w:val="00631BB2"/>
    <w:rsid w:val="0063200D"/>
    <w:rsid w:val="00633735"/>
    <w:rsid w:val="00633BB5"/>
    <w:rsid w:val="00633BDB"/>
    <w:rsid w:val="00634679"/>
    <w:rsid w:val="00636811"/>
    <w:rsid w:val="00636AF5"/>
    <w:rsid w:val="00636BB3"/>
    <w:rsid w:val="0063724B"/>
    <w:rsid w:val="00637824"/>
    <w:rsid w:val="0064013B"/>
    <w:rsid w:val="006414B6"/>
    <w:rsid w:val="0064243B"/>
    <w:rsid w:val="0064283A"/>
    <w:rsid w:val="006428B9"/>
    <w:rsid w:val="006431FD"/>
    <w:rsid w:val="00643240"/>
    <w:rsid w:val="0064338D"/>
    <w:rsid w:val="00643679"/>
    <w:rsid w:val="0064436F"/>
    <w:rsid w:val="0064526E"/>
    <w:rsid w:val="006462B2"/>
    <w:rsid w:val="00647253"/>
    <w:rsid w:val="006475C8"/>
    <w:rsid w:val="00647871"/>
    <w:rsid w:val="00647CC1"/>
    <w:rsid w:val="00647EEA"/>
    <w:rsid w:val="00650B0D"/>
    <w:rsid w:val="00652031"/>
    <w:rsid w:val="00653CAB"/>
    <w:rsid w:val="006541FA"/>
    <w:rsid w:val="0065469C"/>
    <w:rsid w:val="00655831"/>
    <w:rsid w:val="00656230"/>
    <w:rsid w:val="00656F8A"/>
    <w:rsid w:val="00657AF0"/>
    <w:rsid w:val="006615D9"/>
    <w:rsid w:val="00661FDB"/>
    <w:rsid w:val="0066238E"/>
    <w:rsid w:val="00662BC8"/>
    <w:rsid w:val="0066334C"/>
    <w:rsid w:val="00663870"/>
    <w:rsid w:val="00663888"/>
    <w:rsid w:val="006641AC"/>
    <w:rsid w:val="006641FB"/>
    <w:rsid w:val="0066451D"/>
    <w:rsid w:val="006649C6"/>
    <w:rsid w:val="00664C51"/>
    <w:rsid w:val="00664C92"/>
    <w:rsid w:val="00665632"/>
    <w:rsid w:val="006700BD"/>
    <w:rsid w:val="00670562"/>
    <w:rsid w:val="00670590"/>
    <w:rsid w:val="0067067E"/>
    <w:rsid w:val="006708CD"/>
    <w:rsid w:val="00670A5A"/>
    <w:rsid w:val="00670E9E"/>
    <w:rsid w:val="006717BD"/>
    <w:rsid w:val="0067224D"/>
    <w:rsid w:val="00673098"/>
    <w:rsid w:val="00673D8B"/>
    <w:rsid w:val="006741F3"/>
    <w:rsid w:val="0067505F"/>
    <w:rsid w:val="00680CFF"/>
    <w:rsid w:val="006827E1"/>
    <w:rsid w:val="00682B72"/>
    <w:rsid w:val="00683B74"/>
    <w:rsid w:val="00684267"/>
    <w:rsid w:val="00684F4E"/>
    <w:rsid w:val="0068578B"/>
    <w:rsid w:val="0068679E"/>
    <w:rsid w:val="00686DAB"/>
    <w:rsid w:val="00686FB7"/>
    <w:rsid w:val="0068731E"/>
    <w:rsid w:val="006873F9"/>
    <w:rsid w:val="00687B78"/>
    <w:rsid w:val="006905E0"/>
    <w:rsid w:val="00690978"/>
    <w:rsid w:val="00691A90"/>
    <w:rsid w:val="00692537"/>
    <w:rsid w:val="00692E21"/>
    <w:rsid w:val="00692F30"/>
    <w:rsid w:val="006932CD"/>
    <w:rsid w:val="00693FD6"/>
    <w:rsid w:val="00694294"/>
    <w:rsid w:val="0069503F"/>
    <w:rsid w:val="00695AE6"/>
    <w:rsid w:val="00695EF6"/>
    <w:rsid w:val="00696064"/>
    <w:rsid w:val="006968F8"/>
    <w:rsid w:val="00696B6F"/>
    <w:rsid w:val="00696F30"/>
    <w:rsid w:val="006A01C4"/>
    <w:rsid w:val="006A10A2"/>
    <w:rsid w:val="006A297A"/>
    <w:rsid w:val="006A3187"/>
    <w:rsid w:val="006A618E"/>
    <w:rsid w:val="006A6BDC"/>
    <w:rsid w:val="006A6D49"/>
    <w:rsid w:val="006B187B"/>
    <w:rsid w:val="006B2773"/>
    <w:rsid w:val="006B4BEA"/>
    <w:rsid w:val="006B5B4B"/>
    <w:rsid w:val="006B6C66"/>
    <w:rsid w:val="006B6DDD"/>
    <w:rsid w:val="006B6F53"/>
    <w:rsid w:val="006B7688"/>
    <w:rsid w:val="006C017E"/>
    <w:rsid w:val="006C1B65"/>
    <w:rsid w:val="006C257F"/>
    <w:rsid w:val="006C3E1B"/>
    <w:rsid w:val="006C3FCE"/>
    <w:rsid w:val="006C452E"/>
    <w:rsid w:val="006C49D2"/>
    <w:rsid w:val="006C4C4B"/>
    <w:rsid w:val="006C4E45"/>
    <w:rsid w:val="006C5168"/>
    <w:rsid w:val="006C57DD"/>
    <w:rsid w:val="006C5CBC"/>
    <w:rsid w:val="006C66BA"/>
    <w:rsid w:val="006C66CF"/>
    <w:rsid w:val="006C6915"/>
    <w:rsid w:val="006C6C6E"/>
    <w:rsid w:val="006C7A2B"/>
    <w:rsid w:val="006D0D57"/>
    <w:rsid w:val="006D151C"/>
    <w:rsid w:val="006D1B7A"/>
    <w:rsid w:val="006D3131"/>
    <w:rsid w:val="006D38E4"/>
    <w:rsid w:val="006D4DF6"/>
    <w:rsid w:val="006D571D"/>
    <w:rsid w:val="006D5D12"/>
    <w:rsid w:val="006D60B9"/>
    <w:rsid w:val="006D690D"/>
    <w:rsid w:val="006D70D1"/>
    <w:rsid w:val="006D742B"/>
    <w:rsid w:val="006D765B"/>
    <w:rsid w:val="006E08D7"/>
    <w:rsid w:val="006E0DDF"/>
    <w:rsid w:val="006E19A1"/>
    <w:rsid w:val="006E1BEA"/>
    <w:rsid w:val="006E29CD"/>
    <w:rsid w:val="006E2C4D"/>
    <w:rsid w:val="006E33E1"/>
    <w:rsid w:val="006E35AC"/>
    <w:rsid w:val="006E377E"/>
    <w:rsid w:val="006E4C73"/>
    <w:rsid w:val="006E543C"/>
    <w:rsid w:val="006E5D48"/>
    <w:rsid w:val="006E5EC1"/>
    <w:rsid w:val="006E69CA"/>
    <w:rsid w:val="006E6ED3"/>
    <w:rsid w:val="006E7716"/>
    <w:rsid w:val="006F0594"/>
    <w:rsid w:val="006F0919"/>
    <w:rsid w:val="006F0937"/>
    <w:rsid w:val="006F1BC7"/>
    <w:rsid w:val="006F24C5"/>
    <w:rsid w:val="006F363A"/>
    <w:rsid w:val="006F46D5"/>
    <w:rsid w:val="006F51BA"/>
    <w:rsid w:val="006F65AB"/>
    <w:rsid w:val="006F69A3"/>
    <w:rsid w:val="006F7E2A"/>
    <w:rsid w:val="0070061C"/>
    <w:rsid w:val="00700EE6"/>
    <w:rsid w:val="00701280"/>
    <w:rsid w:val="007026D1"/>
    <w:rsid w:val="0070473C"/>
    <w:rsid w:val="00705960"/>
    <w:rsid w:val="00707257"/>
    <w:rsid w:val="00707601"/>
    <w:rsid w:val="007101B9"/>
    <w:rsid w:val="00710243"/>
    <w:rsid w:val="00710D8E"/>
    <w:rsid w:val="00711227"/>
    <w:rsid w:val="007118BD"/>
    <w:rsid w:val="00711BA0"/>
    <w:rsid w:val="00712338"/>
    <w:rsid w:val="00712773"/>
    <w:rsid w:val="00713529"/>
    <w:rsid w:val="0071396C"/>
    <w:rsid w:val="0071452E"/>
    <w:rsid w:val="007150CE"/>
    <w:rsid w:val="00715302"/>
    <w:rsid w:val="00716511"/>
    <w:rsid w:val="00716F83"/>
    <w:rsid w:val="00720D1A"/>
    <w:rsid w:val="0072112F"/>
    <w:rsid w:val="00722E6F"/>
    <w:rsid w:val="007247CD"/>
    <w:rsid w:val="00724907"/>
    <w:rsid w:val="00724EEF"/>
    <w:rsid w:val="0072579B"/>
    <w:rsid w:val="00727814"/>
    <w:rsid w:val="00730B0A"/>
    <w:rsid w:val="007313BE"/>
    <w:rsid w:val="00732673"/>
    <w:rsid w:val="00732825"/>
    <w:rsid w:val="00732B92"/>
    <w:rsid w:val="00732BB8"/>
    <w:rsid w:val="007340EB"/>
    <w:rsid w:val="00734D5D"/>
    <w:rsid w:val="007355A6"/>
    <w:rsid w:val="00735882"/>
    <w:rsid w:val="00735892"/>
    <w:rsid w:val="0073631F"/>
    <w:rsid w:val="00736367"/>
    <w:rsid w:val="0073731A"/>
    <w:rsid w:val="00740425"/>
    <w:rsid w:val="00740FE8"/>
    <w:rsid w:val="00742052"/>
    <w:rsid w:val="00743076"/>
    <w:rsid w:val="00743308"/>
    <w:rsid w:val="00743AAB"/>
    <w:rsid w:val="00744397"/>
    <w:rsid w:val="0074491A"/>
    <w:rsid w:val="00744B15"/>
    <w:rsid w:val="00744D10"/>
    <w:rsid w:val="0074662A"/>
    <w:rsid w:val="007466D6"/>
    <w:rsid w:val="00746813"/>
    <w:rsid w:val="00746B45"/>
    <w:rsid w:val="007505D8"/>
    <w:rsid w:val="0075120D"/>
    <w:rsid w:val="0075144E"/>
    <w:rsid w:val="007522D2"/>
    <w:rsid w:val="007527D8"/>
    <w:rsid w:val="00752C2C"/>
    <w:rsid w:val="007538CD"/>
    <w:rsid w:val="00753F79"/>
    <w:rsid w:val="00754033"/>
    <w:rsid w:val="0075404D"/>
    <w:rsid w:val="00754101"/>
    <w:rsid w:val="00754391"/>
    <w:rsid w:val="00755404"/>
    <w:rsid w:val="0075560F"/>
    <w:rsid w:val="00755729"/>
    <w:rsid w:val="00755C6C"/>
    <w:rsid w:val="00756792"/>
    <w:rsid w:val="00757CB2"/>
    <w:rsid w:val="00760DFE"/>
    <w:rsid w:val="00761BA9"/>
    <w:rsid w:val="00761C54"/>
    <w:rsid w:val="00762CC0"/>
    <w:rsid w:val="0076437B"/>
    <w:rsid w:val="00764391"/>
    <w:rsid w:val="00764AD8"/>
    <w:rsid w:val="00764BA5"/>
    <w:rsid w:val="0076502D"/>
    <w:rsid w:val="00765354"/>
    <w:rsid w:val="0076553F"/>
    <w:rsid w:val="00765701"/>
    <w:rsid w:val="00765F22"/>
    <w:rsid w:val="007663CA"/>
    <w:rsid w:val="007663F6"/>
    <w:rsid w:val="007671A1"/>
    <w:rsid w:val="00771677"/>
    <w:rsid w:val="007717B8"/>
    <w:rsid w:val="00771806"/>
    <w:rsid w:val="00773085"/>
    <w:rsid w:val="0077391A"/>
    <w:rsid w:val="00774963"/>
    <w:rsid w:val="0077550B"/>
    <w:rsid w:val="00776060"/>
    <w:rsid w:val="00776252"/>
    <w:rsid w:val="007766D5"/>
    <w:rsid w:val="007766E1"/>
    <w:rsid w:val="00776B5A"/>
    <w:rsid w:val="00777AEB"/>
    <w:rsid w:val="00780573"/>
    <w:rsid w:val="00780E8B"/>
    <w:rsid w:val="00781D7A"/>
    <w:rsid w:val="00781DE3"/>
    <w:rsid w:val="00782B0D"/>
    <w:rsid w:val="0078338A"/>
    <w:rsid w:val="007848C8"/>
    <w:rsid w:val="00784C45"/>
    <w:rsid w:val="00785160"/>
    <w:rsid w:val="00785DC3"/>
    <w:rsid w:val="00786101"/>
    <w:rsid w:val="00786EEB"/>
    <w:rsid w:val="00787DA5"/>
    <w:rsid w:val="007905F5"/>
    <w:rsid w:val="0079239A"/>
    <w:rsid w:val="00792421"/>
    <w:rsid w:val="00792683"/>
    <w:rsid w:val="00792BAA"/>
    <w:rsid w:val="00793ADA"/>
    <w:rsid w:val="00793BC0"/>
    <w:rsid w:val="00793F60"/>
    <w:rsid w:val="00794886"/>
    <w:rsid w:val="007949A6"/>
    <w:rsid w:val="00795737"/>
    <w:rsid w:val="00795761"/>
    <w:rsid w:val="00795AFB"/>
    <w:rsid w:val="00796431"/>
    <w:rsid w:val="00796629"/>
    <w:rsid w:val="00797E97"/>
    <w:rsid w:val="007A0791"/>
    <w:rsid w:val="007A0A02"/>
    <w:rsid w:val="007A0E27"/>
    <w:rsid w:val="007A1049"/>
    <w:rsid w:val="007A28B7"/>
    <w:rsid w:val="007A2E4D"/>
    <w:rsid w:val="007A36C1"/>
    <w:rsid w:val="007A5F1A"/>
    <w:rsid w:val="007A62AE"/>
    <w:rsid w:val="007A686D"/>
    <w:rsid w:val="007A7103"/>
    <w:rsid w:val="007A77F7"/>
    <w:rsid w:val="007A7F5F"/>
    <w:rsid w:val="007B0300"/>
    <w:rsid w:val="007B0D29"/>
    <w:rsid w:val="007B0D35"/>
    <w:rsid w:val="007B1D35"/>
    <w:rsid w:val="007B24D6"/>
    <w:rsid w:val="007B329F"/>
    <w:rsid w:val="007B3D8C"/>
    <w:rsid w:val="007B4546"/>
    <w:rsid w:val="007B47D3"/>
    <w:rsid w:val="007B4C7C"/>
    <w:rsid w:val="007B5720"/>
    <w:rsid w:val="007B5CD6"/>
    <w:rsid w:val="007B72C7"/>
    <w:rsid w:val="007B73C5"/>
    <w:rsid w:val="007B7532"/>
    <w:rsid w:val="007B79A6"/>
    <w:rsid w:val="007C0264"/>
    <w:rsid w:val="007C040E"/>
    <w:rsid w:val="007C0A7B"/>
    <w:rsid w:val="007C1647"/>
    <w:rsid w:val="007C186C"/>
    <w:rsid w:val="007C1B82"/>
    <w:rsid w:val="007C1BDD"/>
    <w:rsid w:val="007C2068"/>
    <w:rsid w:val="007C31C8"/>
    <w:rsid w:val="007C3AAA"/>
    <w:rsid w:val="007C4696"/>
    <w:rsid w:val="007C48C9"/>
    <w:rsid w:val="007C49AD"/>
    <w:rsid w:val="007C4B48"/>
    <w:rsid w:val="007C4C11"/>
    <w:rsid w:val="007C58C5"/>
    <w:rsid w:val="007C5B88"/>
    <w:rsid w:val="007C6056"/>
    <w:rsid w:val="007C637D"/>
    <w:rsid w:val="007C7069"/>
    <w:rsid w:val="007C72BE"/>
    <w:rsid w:val="007D0D76"/>
    <w:rsid w:val="007D1989"/>
    <w:rsid w:val="007D1F35"/>
    <w:rsid w:val="007D2403"/>
    <w:rsid w:val="007D3020"/>
    <w:rsid w:val="007D44B8"/>
    <w:rsid w:val="007D4C68"/>
    <w:rsid w:val="007D5F76"/>
    <w:rsid w:val="007D666D"/>
    <w:rsid w:val="007D69DB"/>
    <w:rsid w:val="007D6CEB"/>
    <w:rsid w:val="007D6E65"/>
    <w:rsid w:val="007D7559"/>
    <w:rsid w:val="007D7787"/>
    <w:rsid w:val="007D78DB"/>
    <w:rsid w:val="007E0B14"/>
    <w:rsid w:val="007E0BC9"/>
    <w:rsid w:val="007E1458"/>
    <w:rsid w:val="007E2D50"/>
    <w:rsid w:val="007E2E7E"/>
    <w:rsid w:val="007E2FE7"/>
    <w:rsid w:val="007E41CA"/>
    <w:rsid w:val="007E4D38"/>
    <w:rsid w:val="007E4DB0"/>
    <w:rsid w:val="007E5134"/>
    <w:rsid w:val="007E51E0"/>
    <w:rsid w:val="007E5604"/>
    <w:rsid w:val="007E5C30"/>
    <w:rsid w:val="007E68D8"/>
    <w:rsid w:val="007E71A9"/>
    <w:rsid w:val="007E726D"/>
    <w:rsid w:val="007F0543"/>
    <w:rsid w:val="007F1062"/>
    <w:rsid w:val="007F1355"/>
    <w:rsid w:val="007F1655"/>
    <w:rsid w:val="007F2748"/>
    <w:rsid w:val="007F29FC"/>
    <w:rsid w:val="007F38AA"/>
    <w:rsid w:val="007F3B6E"/>
    <w:rsid w:val="007F4609"/>
    <w:rsid w:val="007F4DA8"/>
    <w:rsid w:val="007F5630"/>
    <w:rsid w:val="007F6365"/>
    <w:rsid w:val="007F6648"/>
    <w:rsid w:val="00800972"/>
    <w:rsid w:val="00801321"/>
    <w:rsid w:val="00801CE1"/>
    <w:rsid w:val="0080387E"/>
    <w:rsid w:val="00804FE5"/>
    <w:rsid w:val="00806804"/>
    <w:rsid w:val="00807680"/>
    <w:rsid w:val="00807D82"/>
    <w:rsid w:val="0081153E"/>
    <w:rsid w:val="00812172"/>
    <w:rsid w:val="008121D5"/>
    <w:rsid w:val="0081304D"/>
    <w:rsid w:val="00813238"/>
    <w:rsid w:val="008139F7"/>
    <w:rsid w:val="0081420A"/>
    <w:rsid w:val="00815741"/>
    <w:rsid w:val="0081604C"/>
    <w:rsid w:val="00816198"/>
    <w:rsid w:val="00817D61"/>
    <w:rsid w:val="00817F82"/>
    <w:rsid w:val="00820842"/>
    <w:rsid w:val="00821E88"/>
    <w:rsid w:val="008228C8"/>
    <w:rsid w:val="0082331E"/>
    <w:rsid w:val="00823AB8"/>
    <w:rsid w:val="008240A8"/>
    <w:rsid w:val="008241F6"/>
    <w:rsid w:val="00824665"/>
    <w:rsid w:val="00825DEC"/>
    <w:rsid w:val="00826082"/>
    <w:rsid w:val="00826C84"/>
    <w:rsid w:val="00826D9C"/>
    <w:rsid w:val="00826F4D"/>
    <w:rsid w:val="008305F9"/>
    <w:rsid w:val="00830AD6"/>
    <w:rsid w:val="008319AE"/>
    <w:rsid w:val="00832EEF"/>
    <w:rsid w:val="0083301E"/>
    <w:rsid w:val="008334BB"/>
    <w:rsid w:val="00833565"/>
    <w:rsid w:val="008336FA"/>
    <w:rsid w:val="008339B8"/>
    <w:rsid w:val="00833BF3"/>
    <w:rsid w:val="0083459C"/>
    <w:rsid w:val="008346AD"/>
    <w:rsid w:val="00836492"/>
    <w:rsid w:val="008369DB"/>
    <w:rsid w:val="00836E04"/>
    <w:rsid w:val="008374CD"/>
    <w:rsid w:val="008376C9"/>
    <w:rsid w:val="00841935"/>
    <w:rsid w:val="00841C31"/>
    <w:rsid w:val="00841D06"/>
    <w:rsid w:val="008424D8"/>
    <w:rsid w:val="00842C8A"/>
    <w:rsid w:val="00843236"/>
    <w:rsid w:val="00843BEE"/>
    <w:rsid w:val="00844277"/>
    <w:rsid w:val="00844301"/>
    <w:rsid w:val="008443E8"/>
    <w:rsid w:val="00844E52"/>
    <w:rsid w:val="00844FB8"/>
    <w:rsid w:val="00845333"/>
    <w:rsid w:val="00845415"/>
    <w:rsid w:val="00845F40"/>
    <w:rsid w:val="00846A99"/>
    <w:rsid w:val="008471B2"/>
    <w:rsid w:val="00851244"/>
    <w:rsid w:val="00851ACB"/>
    <w:rsid w:val="00851CEC"/>
    <w:rsid w:val="00851E95"/>
    <w:rsid w:val="00852496"/>
    <w:rsid w:val="008526E2"/>
    <w:rsid w:val="008531E5"/>
    <w:rsid w:val="00853BA2"/>
    <w:rsid w:val="00853CE8"/>
    <w:rsid w:val="00853E1D"/>
    <w:rsid w:val="00854D28"/>
    <w:rsid w:val="00855284"/>
    <w:rsid w:val="008555E5"/>
    <w:rsid w:val="00855EDE"/>
    <w:rsid w:val="00856403"/>
    <w:rsid w:val="00857257"/>
    <w:rsid w:val="00857932"/>
    <w:rsid w:val="00857D4B"/>
    <w:rsid w:val="008600BF"/>
    <w:rsid w:val="008600FD"/>
    <w:rsid w:val="0086050E"/>
    <w:rsid w:val="0086054C"/>
    <w:rsid w:val="0086177A"/>
    <w:rsid w:val="00861E6D"/>
    <w:rsid w:val="0086220B"/>
    <w:rsid w:val="00863D24"/>
    <w:rsid w:val="00863E32"/>
    <w:rsid w:val="00864F38"/>
    <w:rsid w:val="008650E4"/>
    <w:rsid w:val="00865229"/>
    <w:rsid w:val="00865D21"/>
    <w:rsid w:val="00866076"/>
    <w:rsid w:val="0086639F"/>
    <w:rsid w:val="00866901"/>
    <w:rsid w:val="00866986"/>
    <w:rsid w:val="00870DCC"/>
    <w:rsid w:val="00871287"/>
    <w:rsid w:val="008723A9"/>
    <w:rsid w:val="0087280C"/>
    <w:rsid w:val="008729A4"/>
    <w:rsid w:val="00873197"/>
    <w:rsid w:val="00873575"/>
    <w:rsid w:val="008735BC"/>
    <w:rsid w:val="00873B75"/>
    <w:rsid w:val="00873F38"/>
    <w:rsid w:val="00874539"/>
    <w:rsid w:val="00874C35"/>
    <w:rsid w:val="00875DD5"/>
    <w:rsid w:val="008763FB"/>
    <w:rsid w:val="00877779"/>
    <w:rsid w:val="00877885"/>
    <w:rsid w:val="00880C07"/>
    <w:rsid w:val="008812D0"/>
    <w:rsid w:val="00882552"/>
    <w:rsid w:val="00883BA5"/>
    <w:rsid w:val="0088429B"/>
    <w:rsid w:val="00884907"/>
    <w:rsid w:val="00885212"/>
    <w:rsid w:val="00886857"/>
    <w:rsid w:val="00887543"/>
    <w:rsid w:val="00887744"/>
    <w:rsid w:val="00890935"/>
    <w:rsid w:val="00890AA5"/>
    <w:rsid w:val="00891C98"/>
    <w:rsid w:val="00891CBB"/>
    <w:rsid w:val="00892056"/>
    <w:rsid w:val="00892669"/>
    <w:rsid w:val="00892A90"/>
    <w:rsid w:val="00892EC1"/>
    <w:rsid w:val="008934A3"/>
    <w:rsid w:val="0089393D"/>
    <w:rsid w:val="00893E21"/>
    <w:rsid w:val="00894EDD"/>
    <w:rsid w:val="0089564E"/>
    <w:rsid w:val="00895833"/>
    <w:rsid w:val="00896AFF"/>
    <w:rsid w:val="008971C0"/>
    <w:rsid w:val="00897DD8"/>
    <w:rsid w:val="008A0735"/>
    <w:rsid w:val="008A0A06"/>
    <w:rsid w:val="008A2B3B"/>
    <w:rsid w:val="008A2E98"/>
    <w:rsid w:val="008A36E2"/>
    <w:rsid w:val="008A42E7"/>
    <w:rsid w:val="008A4395"/>
    <w:rsid w:val="008A43FC"/>
    <w:rsid w:val="008A45D8"/>
    <w:rsid w:val="008A4F2F"/>
    <w:rsid w:val="008A5869"/>
    <w:rsid w:val="008A5D19"/>
    <w:rsid w:val="008A6299"/>
    <w:rsid w:val="008A6A4F"/>
    <w:rsid w:val="008A799D"/>
    <w:rsid w:val="008B0AC6"/>
    <w:rsid w:val="008B0C78"/>
    <w:rsid w:val="008B0EE8"/>
    <w:rsid w:val="008B1185"/>
    <w:rsid w:val="008B1A7D"/>
    <w:rsid w:val="008B2988"/>
    <w:rsid w:val="008B31E8"/>
    <w:rsid w:val="008B4050"/>
    <w:rsid w:val="008B666C"/>
    <w:rsid w:val="008B6DCE"/>
    <w:rsid w:val="008B7962"/>
    <w:rsid w:val="008C0ADF"/>
    <w:rsid w:val="008C1052"/>
    <w:rsid w:val="008C110A"/>
    <w:rsid w:val="008C1CF5"/>
    <w:rsid w:val="008C2813"/>
    <w:rsid w:val="008C28F3"/>
    <w:rsid w:val="008C2909"/>
    <w:rsid w:val="008C2E33"/>
    <w:rsid w:val="008C343A"/>
    <w:rsid w:val="008C38D9"/>
    <w:rsid w:val="008C41D3"/>
    <w:rsid w:val="008C4A72"/>
    <w:rsid w:val="008C4DF1"/>
    <w:rsid w:val="008C5417"/>
    <w:rsid w:val="008C6792"/>
    <w:rsid w:val="008C69BC"/>
    <w:rsid w:val="008C7146"/>
    <w:rsid w:val="008C79EA"/>
    <w:rsid w:val="008D073C"/>
    <w:rsid w:val="008D07E4"/>
    <w:rsid w:val="008D376C"/>
    <w:rsid w:val="008D4068"/>
    <w:rsid w:val="008D413A"/>
    <w:rsid w:val="008D5329"/>
    <w:rsid w:val="008D579D"/>
    <w:rsid w:val="008D5B55"/>
    <w:rsid w:val="008D7C36"/>
    <w:rsid w:val="008E1EC0"/>
    <w:rsid w:val="008E2BF9"/>
    <w:rsid w:val="008E4043"/>
    <w:rsid w:val="008E48F6"/>
    <w:rsid w:val="008E51F7"/>
    <w:rsid w:val="008E52E6"/>
    <w:rsid w:val="008E6664"/>
    <w:rsid w:val="008E729D"/>
    <w:rsid w:val="008F0500"/>
    <w:rsid w:val="008F1050"/>
    <w:rsid w:val="008F1569"/>
    <w:rsid w:val="008F1DC7"/>
    <w:rsid w:val="008F225C"/>
    <w:rsid w:val="008F2418"/>
    <w:rsid w:val="008F2C89"/>
    <w:rsid w:val="008F2E5D"/>
    <w:rsid w:val="008F41D1"/>
    <w:rsid w:val="008F6701"/>
    <w:rsid w:val="008F6907"/>
    <w:rsid w:val="008F70E1"/>
    <w:rsid w:val="0090107F"/>
    <w:rsid w:val="009011A6"/>
    <w:rsid w:val="00901470"/>
    <w:rsid w:val="009015D7"/>
    <w:rsid w:val="00901964"/>
    <w:rsid w:val="00901E15"/>
    <w:rsid w:val="009021DE"/>
    <w:rsid w:val="00903585"/>
    <w:rsid w:val="0090400C"/>
    <w:rsid w:val="0090467D"/>
    <w:rsid w:val="00905305"/>
    <w:rsid w:val="00906135"/>
    <w:rsid w:val="00906229"/>
    <w:rsid w:val="00906545"/>
    <w:rsid w:val="00906765"/>
    <w:rsid w:val="009101D8"/>
    <w:rsid w:val="00912873"/>
    <w:rsid w:val="009130B2"/>
    <w:rsid w:val="00914261"/>
    <w:rsid w:val="00916D35"/>
    <w:rsid w:val="00916D9D"/>
    <w:rsid w:val="009172E9"/>
    <w:rsid w:val="009173ED"/>
    <w:rsid w:val="00917BF3"/>
    <w:rsid w:val="00917CB1"/>
    <w:rsid w:val="00917F21"/>
    <w:rsid w:val="0092046B"/>
    <w:rsid w:val="0092071B"/>
    <w:rsid w:val="00920A35"/>
    <w:rsid w:val="00920B79"/>
    <w:rsid w:val="00920F60"/>
    <w:rsid w:val="0092132F"/>
    <w:rsid w:val="009221E2"/>
    <w:rsid w:val="0092261A"/>
    <w:rsid w:val="00923598"/>
    <w:rsid w:val="00923B39"/>
    <w:rsid w:val="009247E8"/>
    <w:rsid w:val="00925BCF"/>
    <w:rsid w:val="009268A9"/>
    <w:rsid w:val="00926A73"/>
    <w:rsid w:val="00926AEC"/>
    <w:rsid w:val="00927A5F"/>
    <w:rsid w:val="00930494"/>
    <w:rsid w:val="00931327"/>
    <w:rsid w:val="0093197C"/>
    <w:rsid w:val="00931E3C"/>
    <w:rsid w:val="00932EA0"/>
    <w:rsid w:val="00933038"/>
    <w:rsid w:val="009339A5"/>
    <w:rsid w:val="0093403D"/>
    <w:rsid w:val="00934137"/>
    <w:rsid w:val="009356DA"/>
    <w:rsid w:val="00935D4B"/>
    <w:rsid w:val="00935E1F"/>
    <w:rsid w:val="00935ED8"/>
    <w:rsid w:val="0093719E"/>
    <w:rsid w:val="00937773"/>
    <w:rsid w:val="00937DE3"/>
    <w:rsid w:val="00937F04"/>
    <w:rsid w:val="009409A5"/>
    <w:rsid w:val="009417A6"/>
    <w:rsid w:val="00941ECC"/>
    <w:rsid w:val="00941FEC"/>
    <w:rsid w:val="009420BA"/>
    <w:rsid w:val="00942837"/>
    <w:rsid w:val="00942C5D"/>
    <w:rsid w:val="0095147A"/>
    <w:rsid w:val="009515C0"/>
    <w:rsid w:val="009515C5"/>
    <w:rsid w:val="00951954"/>
    <w:rsid w:val="00952964"/>
    <w:rsid w:val="00952BA1"/>
    <w:rsid w:val="00953234"/>
    <w:rsid w:val="009532F2"/>
    <w:rsid w:val="009534D4"/>
    <w:rsid w:val="009542D5"/>
    <w:rsid w:val="009551AA"/>
    <w:rsid w:val="00956475"/>
    <w:rsid w:val="0095671F"/>
    <w:rsid w:val="00956835"/>
    <w:rsid w:val="00957DFF"/>
    <w:rsid w:val="00961088"/>
    <w:rsid w:val="0096176E"/>
    <w:rsid w:val="00961FA2"/>
    <w:rsid w:val="0096229E"/>
    <w:rsid w:val="00962550"/>
    <w:rsid w:val="00963216"/>
    <w:rsid w:val="009646D0"/>
    <w:rsid w:val="00965E36"/>
    <w:rsid w:val="00965F2D"/>
    <w:rsid w:val="00965FEE"/>
    <w:rsid w:val="00966C44"/>
    <w:rsid w:val="009673C3"/>
    <w:rsid w:val="009675C1"/>
    <w:rsid w:val="00970CB0"/>
    <w:rsid w:val="00971D64"/>
    <w:rsid w:val="00972414"/>
    <w:rsid w:val="009725B9"/>
    <w:rsid w:val="009726C2"/>
    <w:rsid w:val="0097289B"/>
    <w:rsid w:val="00972968"/>
    <w:rsid w:val="00973445"/>
    <w:rsid w:val="009748EC"/>
    <w:rsid w:val="0097520C"/>
    <w:rsid w:val="009752C0"/>
    <w:rsid w:val="00976305"/>
    <w:rsid w:val="00977352"/>
    <w:rsid w:val="00977F26"/>
    <w:rsid w:val="00977FCC"/>
    <w:rsid w:val="00980234"/>
    <w:rsid w:val="0098024E"/>
    <w:rsid w:val="00981E64"/>
    <w:rsid w:val="0098307F"/>
    <w:rsid w:val="00983974"/>
    <w:rsid w:val="00987A27"/>
    <w:rsid w:val="00991414"/>
    <w:rsid w:val="009917AA"/>
    <w:rsid w:val="00991D3C"/>
    <w:rsid w:val="0099229F"/>
    <w:rsid w:val="00992997"/>
    <w:rsid w:val="00993EF2"/>
    <w:rsid w:val="00994210"/>
    <w:rsid w:val="009942D6"/>
    <w:rsid w:val="009950BE"/>
    <w:rsid w:val="00995EBA"/>
    <w:rsid w:val="00996413"/>
    <w:rsid w:val="00997147"/>
    <w:rsid w:val="009A0110"/>
    <w:rsid w:val="009A05D3"/>
    <w:rsid w:val="009A0EA6"/>
    <w:rsid w:val="009A0F70"/>
    <w:rsid w:val="009A10CE"/>
    <w:rsid w:val="009A14E1"/>
    <w:rsid w:val="009A17AA"/>
    <w:rsid w:val="009A18A0"/>
    <w:rsid w:val="009A1937"/>
    <w:rsid w:val="009A1C56"/>
    <w:rsid w:val="009A1DA6"/>
    <w:rsid w:val="009A2C25"/>
    <w:rsid w:val="009A43DD"/>
    <w:rsid w:val="009A4D9D"/>
    <w:rsid w:val="009A5DDC"/>
    <w:rsid w:val="009A6569"/>
    <w:rsid w:val="009A6D25"/>
    <w:rsid w:val="009B062F"/>
    <w:rsid w:val="009B1FB4"/>
    <w:rsid w:val="009B2278"/>
    <w:rsid w:val="009B34BC"/>
    <w:rsid w:val="009B37C3"/>
    <w:rsid w:val="009B3AB0"/>
    <w:rsid w:val="009B3CDA"/>
    <w:rsid w:val="009B4072"/>
    <w:rsid w:val="009B41DF"/>
    <w:rsid w:val="009B4425"/>
    <w:rsid w:val="009B4F64"/>
    <w:rsid w:val="009B5D98"/>
    <w:rsid w:val="009B635C"/>
    <w:rsid w:val="009B667A"/>
    <w:rsid w:val="009B7BBB"/>
    <w:rsid w:val="009B7E4A"/>
    <w:rsid w:val="009C0680"/>
    <w:rsid w:val="009C1C48"/>
    <w:rsid w:val="009C22C9"/>
    <w:rsid w:val="009C33D0"/>
    <w:rsid w:val="009C4175"/>
    <w:rsid w:val="009C4406"/>
    <w:rsid w:val="009C445A"/>
    <w:rsid w:val="009C65EB"/>
    <w:rsid w:val="009C67E6"/>
    <w:rsid w:val="009C72D1"/>
    <w:rsid w:val="009C76EA"/>
    <w:rsid w:val="009C7D5A"/>
    <w:rsid w:val="009D0187"/>
    <w:rsid w:val="009D097F"/>
    <w:rsid w:val="009D19E9"/>
    <w:rsid w:val="009D2179"/>
    <w:rsid w:val="009D26F7"/>
    <w:rsid w:val="009D4A84"/>
    <w:rsid w:val="009D581B"/>
    <w:rsid w:val="009D5932"/>
    <w:rsid w:val="009D59BF"/>
    <w:rsid w:val="009D7DC1"/>
    <w:rsid w:val="009E087E"/>
    <w:rsid w:val="009E26CD"/>
    <w:rsid w:val="009E31FD"/>
    <w:rsid w:val="009E3DC2"/>
    <w:rsid w:val="009E410C"/>
    <w:rsid w:val="009E421C"/>
    <w:rsid w:val="009E4F5E"/>
    <w:rsid w:val="009E5229"/>
    <w:rsid w:val="009E5CA9"/>
    <w:rsid w:val="009E5DC9"/>
    <w:rsid w:val="009E5FBE"/>
    <w:rsid w:val="009E62BE"/>
    <w:rsid w:val="009E69F4"/>
    <w:rsid w:val="009E6F5B"/>
    <w:rsid w:val="009E7139"/>
    <w:rsid w:val="009E78B2"/>
    <w:rsid w:val="009E7BD3"/>
    <w:rsid w:val="009E7EFC"/>
    <w:rsid w:val="009F0057"/>
    <w:rsid w:val="009F00B2"/>
    <w:rsid w:val="009F0698"/>
    <w:rsid w:val="009F0997"/>
    <w:rsid w:val="009F3C21"/>
    <w:rsid w:val="009F4966"/>
    <w:rsid w:val="009F5197"/>
    <w:rsid w:val="009F6868"/>
    <w:rsid w:val="009F69D7"/>
    <w:rsid w:val="009F79C0"/>
    <w:rsid w:val="00A01A84"/>
    <w:rsid w:val="00A02570"/>
    <w:rsid w:val="00A02670"/>
    <w:rsid w:val="00A03C32"/>
    <w:rsid w:val="00A03D29"/>
    <w:rsid w:val="00A04512"/>
    <w:rsid w:val="00A04FDB"/>
    <w:rsid w:val="00A051AF"/>
    <w:rsid w:val="00A06593"/>
    <w:rsid w:val="00A07241"/>
    <w:rsid w:val="00A07743"/>
    <w:rsid w:val="00A0776E"/>
    <w:rsid w:val="00A1051E"/>
    <w:rsid w:val="00A10CD6"/>
    <w:rsid w:val="00A11265"/>
    <w:rsid w:val="00A11D50"/>
    <w:rsid w:val="00A1280B"/>
    <w:rsid w:val="00A13DE7"/>
    <w:rsid w:val="00A1449B"/>
    <w:rsid w:val="00A14610"/>
    <w:rsid w:val="00A153CC"/>
    <w:rsid w:val="00A15BC1"/>
    <w:rsid w:val="00A165BD"/>
    <w:rsid w:val="00A16EBD"/>
    <w:rsid w:val="00A179DA"/>
    <w:rsid w:val="00A20D5C"/>
    <w:rsid w:val="00A21342"/>
    <w:rsid w:val="00A21E80"/>
    <w:rsid w:val="00A22C6F"/>
    <w:rsid w:val="00A244B7"/>
    <w:rsid w:val="00A24772"/>
    <w:rsid w:val="00A24A60"/>
    <w:rsid w:val="00A24D29"/>
    <w:rsid w:val="00A25213"/>
    <w:rsid w:val="00A257D5"/>
    <w:rsid w:val="00A25E0D"/>
    <w:rsid w:val="00A26396"/>
    <w:rsid w:val="00A26710"/>
    <w:rsid w:val="00A267DB"/>
    <w:rsid w:val="00A267E3"/>
    <w:rsid w:val="00A27C4E"/>
    <w:rsid w:val="00A3089F"/>
    <w:rsid w:val="00A310AD"/>
    <w:rsid w:val="00A3174C"/>
    <w:rsid w:val="00A31D95"/>
    <w:rsid w:val="00A329BE"/>
    <w:rsid w:val="00A32AA5"/>
    <w:rsid w:val="00A32E61"/>
    <w:rsid w:val="00A34781"/>
    <w:rsid w:val="00A348E1"/>
    <w:rsid w:val="00A36F7F"/>
    <w:rsid w:val="00A378D5"/>
    <w:rsid w:val="00A400AE"/>
    <w:rsid w:val="00A40C1D"/>
    <w:rsid w:val="00A40E31"/>
    <w:rsid w:val="00A40FBF"/>
    <w:rsid w:val="00A41006"/>
    <w:rsid w:val="00A42223"/>
    <w:rsid w:val="00A42EF2"/>
    <w:rsid w:val="00A433E2"/>
    <w:rsid w:val="00A436CC"/>
    <w:rsid w:val="00A441E2"/>
    <w:rsid w:val="00A44767"/>
    <w:rsid w:val="00A4532E"/>
    <w:rsid w:val="00A457CF"/>
    <w:rsid w:val="00A4593B"/>
    <w:rsid w:val="00A4616F"/>
    <w:rsid w:val="00A46649"/>
    <w:rsid w:val="00A469BD"/>
    <w:rsid w:val="00A46BAC"/>
    <w:rsid w:val="00A46EC9"/>
    <w:rsid w:val="00A50C93"/>
    <w:rsid w:val="00A50DA7"/>
    <w:rsid w:val="00A5369D"/>
    <w:rsid w:val="00A53F17"/>
    <w:rsid w:val="00A555C7"/>
    <w:rsid w:val="00A55C1A"/>
    <w:rsid w:val="00A5621F"/>
    <w:rsid w:val="00A5666D"/>
    <w:rsid w:val="00A56C1E"/>
    <w:rsid w:val="00A57B92"/>
    <w:rsid w:val="00A57E74"/>
    <w:rsid w:val="00A6146A"/>
    <w:rsid w:val="00A61835"/>
    <w:rsid w:val="00A618FA"/>
    <w:rsid w:val="00A64176"/>
    <w:rsid w:val="00A65752"/>
    <w:rsid w:val="00A65F70"/>
    <w:rsid w:val="00A662DD"/>
    <w:rsid w:val="00A67273"/>
    <w:rsid w:val="00A71320"/>
    <w:rsid w:val="00A71A00"/>
    <w:rsid w:val="00A71AE5"/>
    <w:rsid w:val="00A72480"/>
    <w:rsid w:val="00A72F80"/>
    <w:rsid w:val="00A733F5"/>
    <w:rsid w:val="00A7369F"/>
    <w:rsid w:val="00A73866"/>
    <w:rsid w:val="00A73D18"/>
    <w:rsid w:val="00A74604"/>
    <w:rsid w:val="00A74B51"/>
    <w:rsid w:val="00A74FC7"/>
    <w:rsid w:val="00A76292"/>
    <w:rsid w:val="00A76942"/>
    <w:rsid w:val="00A77EBA"/>
    <w:rsid w:val="00A80390"/>
    <w:rsid w:val="00A81B8D"/>
    <w:rsid w:val="00A8201C"/>
    <w:rsid w:val="00A8203A"/>
    <w:rsid w:val="00A825DD"/>
    <w:rsid w:val="00A83473"/>
    <w:rsid w:val="00A83B57"/>
    <w:rsid w:val="00A83FA2"/>
    <w:rsid w:val="00A849BC"/>
    <w:rsid w:val="00A84C2B"/>
    <w:rsid w:val="00A85CBE"/>
    <w:rsid w:val="00A8644C"/>
    <w:rsid w:val="00A8684F"/>
    <w:rsid w:val="00A876B3"/>
    <w:rsid w:val="00A87D36"/>
    <w:rsid w:val="00A9028E"/>
    <w:rsid w:val="00A906F0"/>
    <w:rsid w:val="00A90CFF"/>
    <w:rsid w:val="00A90E30"/>
    <w:rsid w:val="00A90E9B"/>
    <w:rsid w:val="00A91028"/>
    <w:rsid w:val="00A928FD"/>
    <w:rsid w:val="00A92DD1"/>
    <w:rsid w:val="00A930E9"/>
    <w:rsid w:val="00A93216"/>
    <w:rsid w:val="00A93259"/>
    <w:rsid w:val="00A939E9"/>
    <w:rsid w:val="00A94146"/>
    <w:rsid w:val="00A94CD7"/>
    <w:rsid w:val="00A95B06"/>
    <w:rsid w:val="00A9618C"/>
    <w:rsid w:val="00A9646B"/>
    <w:rsid w:val="00AA02F7"/>
    <w:rsid w:val="00AA0A85"/>
    <w:rsid w:val="00AA1022"/>
    <w:rsid w:val="00AA1392"/>
    <w:rsid w:val="00AA1DDB"/>
    <w:rsid w:val="00AA2F82"/>
    <w:rsid w:val="00AA3BB6"/>
    <w:rsid w:val="00AA3D3F"/>
    <w:rsid w:val="00AA459B"/>
    <w:rsid w:val="00AA47B8"/>
    <w:rsid w:val="00AA5670"/>
    <w:rsid w:val="00AA6676"/>
    <w:rsid w:val="00AA6EF9"/>
    <w:rsid w:val="00AA6F8E"/>
    <w:rsid w:val="00AA7D79"/>
    <w:rsid w:val="00AB14FF"/>
    <w:rsid w:val="00AB182B"/>
    <w:rsid w:val="00AB1993"/>
    <w:rsid w:val="00AB1D10"/>
    <w:rsid w:val="00AB21CE"/>
    <w:rsid w:val="00AB3AC2"/>
    <w:rsid w:val="00AB4625"/>
    <w:rsid w:val="00AB47DE"/>
    <w:rsid w:val="00AB47F4"/>
    <w:rsid w:val="00AB49AA"/>
    <w:rsid w:val="00AB5317"/>
    <w:rsid w:val="00AB56D7"/>
    <w:rsid w:val="00AB5714"/>
    <w:rsid w:val="00AB578C"/>
    <w:rsid w:val="00AB5A02"/>
    <w:rsid w:val="00AB5FEB"/>
    <w:rsid w:val="00AB6666"/>
    <w:rsid w:val="00AB741A"/>
    <w:rsid w:val="00AC0572"/>
    <w:rsid w:val="00AC0D60"/>
    <w:rsid w:val="00AC1011"/>
    <w:rsid w:val="00AC17DA"/>
    <w:rsid w:val="00AC2403"/>
    <w:rsid w:val="00AC2D41"/>
    <w:rsid w:val="00AC3252"/>
    <w:rsid w:val="00AC3808"/>
    <w:rsid w:val="00AC38D4"/>
    <w:rsid w:val="00AC38D7"/>
    <w:rsid w:val="00AC4286"/>
    <w:rsid w:val="00AC42C0"/>
    <w:rsid w:val="00AC4691"/>
    <w:rsid w:val="00AC497D"/>
    <w:rsid w:val="00AC5A46"/>
    <w:rsid w:val="00AC6941"/>
    <w:rsid w:val="00AC6988"/>
    <w:rsid w:val="00AC78C2"/>
    <w:rsid w:val="00AC7D10"/>
    <w:rsid w:val="00AC7D4E"/>
    <w:rsid w:val="00AD0D96"/>
    <w:rsid w:val="00AD1A33"/>
    <w:rsid w:val="00AD1D68"/>
    <w:rsid w:val="00AD30E6"/>
    <w:rsid w:val="00AD32BE"/>
    <w:rsid w:val="00AD393A"/>
    <w:rsid w:val="00AD4543"/>
    <w:rsid w:val="00AD4B3A"/>
    <w:rsid w:val="00AD5557"/>
    <w:rsid w:val="00AD598F"/>
    <w:rsid w:val="00AD5ACB"/>
    <w:rsid w:val="00AD6C03"/>
    <w:rsid w:val="00AD7FC5"/>
    <w:rsid w:val="00AE022A"/>
    <w:rsid w:val="00AE0E3E"/>
    <w:rsid w:val="00AE0E89"/>
    <w:rsid w:val="00AE0EA5"/>
    <w:rsid w:val="00AE1010"/>
    <w:rsid w:val="00AE17E8"/>
    <w:rsid w:val="00AE1978"/>
    <w:rsid w:val="00AE1A8B"/>
    <w:rsid w:val="00AE57F5"/>
    <w:rsid w:val="00AE58E3"/>
    <w:rsid w:val="00AE5B4B"/>
    <w:rsid w:val="00AE7341"/>
    <w:rsid w:val="00AE7DCE"/>
    <w:rsid w:val="00AF07F4"/>
    <w:rsid w:val="00AF0BC0"/>
    <w:rsid w:val="00AF2988"/>
    <w:rsid w:val="00AF3419"/>
    <w:rsid w:val="00AF34E8"/>
    <w:rsid w:val="00AF378E"/>
    <w:rsid w:val="00AF43C0"/>
    <w:rsid w:val="00AF46EB"/>
    <w:rsid w:val="00AF4ACD"/>
    <w:rsid w:val="00AF4C2E"/>
    <w:rsid w:val="00AF58CB"/>
    <w:rsid w:val="00AF6C0E"/>
    <w:rsid w:val="00AF6E5E"/>
    <w:rsid w:val="00AF78BE"/>
    <w:rsid w:val="00AF7B09"/>
    <w:rsid w:val="00B001D1"/>
    <w:rsid w:val="00B004CD"/>
    <w:rsid w:val="00B0051B"/>
    <w:rsid w:val="00B00689"/>
    <w:rsid w:val="00B00CC1"/>
    <w:rsid w:val="00B01D9C"/>
    <w:rsid w:val="00B02522"/>
    <w:rsid w:val="00B028F6"/>
    <w:rsid w:val="00B03145"/>
    <w:rsid w:val="00B045E2"/>
    <w:rsid w:val="00B05073"/>
    <w:rsid w:val="00B0538B"/>
    <w:rsid w:val="00B05F76"/>
    <w:rsid w:val="00B05FBA"/>
    <w:rsid w:val="00B06619"/>
    <w:rsid w:val="00B06CD0"/>
    <w:rsid w:val="00B0750A"/>
    <w:rsid w:val="00B10035"/>
    <w:rsid w:val="00B10A1A"/>
    <w:rsid w:val="00B10DA0"/>
    <w:rsid w:val="00B11282"/>
    <w:rsid w:val="00B113AB"/>
    <w:rsid w:val="00B11972"/>
    <w:rsid w:val="00B126F6"/>
    <w:rsid w:val="00B12D97"/>
    <w:rsid w:val="00B13DD8"/>
    <w:rsid w:val="00B1409B"/>
    <w:rsid w:val="00B149B4"/>
    <w:rsid w:val="00B14F9C"/>
    <w:rsid w:val="00B15B61"/>
    <w:rsid w:val="00B162BC"/>
    <w:rsid w:val="00B1765F"/>
    <w:rsid w:val="00B1782A"/>
    <w:rsid w:val="00B17A17"/>
    <w:rsid w:val="00B2114F"/>
    <w:rsid w:val="00B2220B"/>
    <w:rsid w:val="00B22383"/>
    <w:rsid w:val="00B2277E"/>
    <w:rsid w:val="00B22B4D"/>
    <w:rsid w:val="00B23981"/>
    <w:rsid w:val="00B23B50"/>
    <w:rsid w:val="00B24783"/>
    <w:rsid w:val="00B27553"/>
    <w:rsid w:val="00B277A9"/>
    <w:rsid w:val="00B304BC"/>
    <w:rsid w:val="00B31079"/>
    <w:rsid w:val="00B313F5"/>
    <w:rsid w:val="00B31EEC"/>
    <w:rsid w:val="00B32455"/>
    <w:rsid w:val="00B32F02"/>
    <w:rsid w:val="00B33EBE"/>
    <w:rsid w:val="00B34828"/>
    <w:rsid w:val="00B35666"/>
    <w:rsid w:val="00B35F01"/>
    <w:rsid w:val="00B3612C"/>
    <w:rsid w:val="00B3647B"/>
    <w:rsid w:val="00B368F2"/>
    <w:rsid w:val="00B36E07"/>
    <w:rsid w:val="00B36F99"/>
    <w:rsid w:val="00B37823"/>
    <w:rsid w:val="00B4033D"/>
    <w:rsid w:val="00B405A6"/>
    <w:rsid w:val="00B40C40"/>
    <w:rsid w:val="00B4273F"/>
    <w:rsid w:val="00B43022"/>
    <w:rsid w:val="00B4347F"/>
    <w:rsid w:val="00B4351D"/>
    <w:rsid w:val="00B4394F"/>
    <w:rsid w:val="00B43B85"/>
    <w:rsid w:val="00B43EE1"/>
    <w:rsid w:val="00B4590F"/>
    <w:rsid w:val="00B46656"/>
    <w:rsid w:val="00B46CD6"/>
    <w:rsid w:val="00B50354"/>
    <w:rsid w:val="00B5042D"/>
    <w:rsid w:val="00B50B78"/>
    <w:rsid w:val="00B5103E"/>
    <w:rsid w:val="00B511AA"/>
    <w:rsid w:val="00B51645"/>
    <w:rsid w:val="00B52530"/>
    <w:rsid w:val="00B53FF1"/>
    <w:rsid w:val="00B54367"/>
    <w:rsid w:val="00B543A9"/>
    <w:rsid w:val="00B548AA"/>
    <w:rsid w:val="00B564F9"/>
    <w:rsid w:val="00B56B05"/>
    <w:rsid w:val="00B56E8C"/>
    <w:rsid w:val="00B57270"/>
    <w:rsid w:val="00B57855"/>
    <w:rsid w:val="00B57899"/>
    <w:rsid w:val="00B57D4E"/>
    <w:rsid w:val="00B57E0D"/>
    <w:rsid w:val="00B60834"/>
    <w:rsid w:val="00B62FED"/>
    <w:rsid w:val="00B631D2"/>
    <w:rsid w:val="00B6323B"/>
    <w:rsid w:val="00B66169"/>
    <w:rsid w:val="00B66D43"/>
    <w:rsid w:val="00B67CAC"/>
    <w:rsid w:val="00B70797"/>
    <w:rsid w:val="00B7082B"/>
    <w:rsid w:val="00B70E90"/>
    <w:rsid w:val="00B717B6"/>
    <w:rsid w:val="00B7283E"/>
    <w:rsid w:val="00B72A48"/>
    <w:rsid w:val="00B73F62"/>
    <w:rsid w:val="00B75FBC"/>
    <w:rsid w:val="00B7625A"/>
    <w:rsid w:val="00B7642C"/>
    <w:rsid w:val="00B7667A"/>
    <w:rsid w:val="00B777B2"/>
    <w:rsid w:val="00B800BA"/>
    <w:rsid w:val="00B8071B"/>
    <w:rsid w:val="00B8106D"/>
    <w:rsid w:val="00B819BC"/>
    <w:rsid w:val="00B81A8B"/>
    <w:rsid w:val="00B81AE7"/>
    <w:rsid w:val="00B81FC0"/>
    <w:rsid w:val="00B829C0"/>
    <w:rsid w:val="00B82FB9"/>
    <w:rsid w:val="00B8390C"/>
    <w:rsid w:val="00B84A46"/>
    <w:rsid w:val="00B85439"/>
    <w:rsid w:val="00B869AE"/>
    <w:rsid w:val="00B874C3"/>
    <w:rsid w:val="00B8781A"/>
    <w:rsid w:val="00B87B24"/>
    <w:rsid w:val="00B87DC5"/>
    <w:rsid w:val="00B87E74"/>
    <w:rsid w:val="00B87EB1"/>
    <w:rsid w:val="00B91013"/>
    <w:rsid w:val="00B9113E"/>
    <w:rsid w:val="00B92B76"/>
    <w:rsid w:val="00B931FD"/>
    <w:rsid w:val="00B936AC"/>
    <w:rsid w:val="00B93D76"/>
    <w:rsid w:val="00B95045"/>
    <w:rsid w:val="00B952D3"/>
    <w:rsid w:val="00B953E7"/>
    <w:rsid w:val="00B95B83"/>
    <w:rsid w:val="00B95E34"/>
    <w:rsid w:val="00B96892"/>
    <w:rsid w:val="00B96BCF"/>
    <w:rsid w:val="00B97182"/>
    <w:rsid w:val="00B977B8"/>
    <w:rsid w:val="00B97836"/>
    <w:rsid w:val="00B97869"/>
    <w:rsid w:val="00B97F8A"/>
    <w:rsid w:val="00BA03B1"/>
    <w:rsid w:val="00BA048A"/>
    <w:rsid w:val="00BA04F0"/>
    <w:rsid w:val="00BA0D0D"/>
    <w:rsid w:val="00BA2357"/>
    <w:rsid w:val="00BA25C6"/>
    <w:rsid w:val="00BA2763"/>
    <w:rsid w:val="00BA29F3"/>
    <w:rsid w:val="00BA2B55"/>
    <w:rsid w:val="00BA322B"/>
    <w:rsid w:val="00BA32E6"/>
    <w:rsid w:val="00BA5D22"/>
    <w:rsid w:val="00BA5FA0"/>
    <w:rsid w:val="00BA64A2"/>
    <w:rsid w:val="00BA64E6"/>
    <w:rsid w:val="00BA7056"/>
    <w:rsid w:val="00BA7515"/>
    <w:rsid w:val="00BA7B8E"/>
    <w:rsid w:val="00BA7D63"/>
    <w:rsid w:val="00BA7DBA"/>
    <w:rsid w:val="00BB0002"/>
    <w:rsid w:val="00BB00E4"/>
    <w:rsid w:val="00BB09A0"/>
    <w:rsid w:val="00BB10CB"/>
    <w:rsid w:val="00BB1192"/>
    <w:rsid w:val="00BB1C48"/>
    <w:rsid w:val="00BB1D13"/>
    <w:rsid w:val="00BB27B2"/>
    <w:rsid w:val="00BB3B96"/>
    <w:rsid w:val="00BB47FF"/>
    <w:rsid w:val="00BB6900"/>
    <w:rsid w:val="00BB72B9"/>
    <w:rsid w:val="00BB78B8"/>
    <w:rsid w:val="00BC0878"/>
    <w:rsid w:val="00BC112E"/>
    <w:rsid w:val="00BC1775"/>
    <w:rsid w:val="00BC1BE7"/>
    <w:rsid w:val="00BC21BE"/>
    <w:rsid w:val="00BC231B"/>
    <w:rsid w:val="00BC2994"/>
    <w:rsid w:val="00BC34E1"/>
    <w:rsid w:val="00BC3DBA"/>
    <w:rsid w:val="00BC4AAF"/>
    <w:rsid w:val="00BC4C7F"/>
    <w:rsid w:val="00BC4D99"/>
    <w:rsid w:val="00BC5426"/>
    <w:rsid w:val="00BC73B3"/>
    <w:rsid w:val="00BC756D"/>
    <w:rsid w:val="00BC7818"/>
    <w:rsid w:val="00BC7A9F"/>
    <w:rsid w:val="00BD03A7"/>
    <w:rsid w:val="00BD2F80"/>
    <w:rsid w:val="00BD3011"/>
    <w:rsid w:val="00BD3459"/>
    <w:rsid w:val="00BD565B"/>
    <w:rsid w:val="00BD6158"/>
    <w:rsid w:val="00BD63BF"/>
    <w:rsid w:val="00BD6CBB"/>
    <w:rsid w:val="00BD7463"/>
    <w:rsid w:val="00BD784A"/>
    <w:rsid w:val="00BD7CF0"/>
    <w:rsid w:val="00BE05D4"/>
    <w:rsid w:val="00BE0CF7"/>
    <w:rsid w:val="00BE0FF8"/>
    <w:rsid w:val="00BE25C9"/>
    <w:rsid w:val="00BE2C2A"/>
    <w:rsid w:val="00BE331E"/>
    <w:rsid w:val="00BE3E4B"/>
    <w:rsid w:val="00BE4299"/>
    <w:rsid w:val="00BE4C51"/>
    <w:rsid w:val="00BE5362"/>
    <w:rsid w:val="00BE5739"/>
    <w:rsid w:val="00BE6595"/>
    <w:rsid w:val="00BE766E"/>
    <w:rsid w:val="00BE7D4F"/>
    <w:rsid w:val="00BF1726"/>
    <w:rsid w:val="00BF1D16"/>
    <w:rsid w:val="00BF2A60"/>
    <w:rsid w:val="00BF2E9B"/>
    <w:rsid w:val="00BF3708"/>
    <w:rsid w:val="00BF3FBA"/>
    <w:rsid w:val="00BF6B2D"/>
    <w:rsid w:val="00BF6FC1"/>
    <w:rsid w:val="00BF7EC2"/>
    <w:rsid w:val="00C02646"/>
    <w:rsid w:val="00C03FFF"/>
    <w:rsid w:val="00C065D4"/>
    <w:rsid w:val="00C0671D"/>
    <w:rsid w:val="00C06922"/>
    <w:rsid w:val="00C07767"/>
    <w:rsid w:val="00C07C1B"/>
    <w:rsid w:val="00C07E3D"/>
    <w:rsid w:val="00C10679"/>
    <w:rsid w:val="00C10FC7"/>
    <w:rsid w:val="00C1149C"/>
    <w:rsid w:val="00C11F96"/>
    <w:rsid w:val="00C12158"/>
    <w:rsid w:val="00C13C61"/>
    <w:rsid w:val="00C14F7B"/>
    <w:rsid w:val="00C1557A"/>
    <w:rsid w:val="00C15CC7"/>
    <w:rsid w:val="00C1676D"/>
    <w:rsid w:val="00C1679A"/>
    <w:rsid w:val="00C16840"/>
    <w:rsid w:val="00C16F83"/>
    <w:rsid w:val="00C17270"/>
    <w:rsid w:val="00C172DB"/>
    <w:rsid w:val="00C20005"/>
    <w:rsid w:val="00C214A4"/>
    <w:rsid w:val="00C214F7"/>
    <w:rsid w:val="00C2179A"/>
    <w:rsid w:val="00C21816"/>
    <w:rsid w:val="00C21A7B"/>
    <w:rsid w:val="00C21BA8"/>
    <w:rsid w:val="00C23183"/>
    <w:rsid w:val="00C23DF9"/>
    <w:rsid w:val="00C2424C"/>
    <w:rsid w:val="00C25CF3"/>
    <w:rsid w:val="00C2616D"/>
    <w:rsid w:val="00C2625E"/>
    <w:rsid w:val="00C2630F"/>
    <w:rsid w:val="00C267E1"/>
    <w:rsid w:val="00C26E91"/>
    <w:rsid w:val="00C275DF"/>
    <w:rsid w:val="00C27C62"/>
    <w:rsid w:val="00C30828"/>
    <w:rsid w:val="00C30934"/>
    <w:rsid w:val="00C30E08"/>
    <w:rsid w:val="00C31A16"/>
    <w:rsid w:val="00C32580"/>
    <w:rsid w:val="00C32EBD"/>
    <w:rsid w:val="00C336AA"/>
    <w:rsid w:val="00C33790"/>
    <w:rsid w:val="00C339EE"/>
    <w:rsid w:val="00C342C4"/>
    <w:rsid w:val="00C34AB7"/>
    <w:rsid w:val="00C34C29"/>
    <w:rsid w:val="00C35C40"/>
    <w:rsid w:val="00C35F7A"/>
    <w:rsid w:val="00C36B48"/>
    <w:rsid w:val="00C36BC2"/>
    <w:rsid w:val="00C3719B"/>
    <w:rsid w:val="00C379CB"/>
    <w:rsid w:val="00C409FA"/>
    <w:rsid w:val="00C41CA1"/>
    <w:rsid w:val="00C420DD"/>
    <w:rsid w:val="00C4250D"/>
    <w:rsid w:val="00C426F2"/>
    <w:rsid w:val="00C42964"/>
    <w:rsid w:val="00C43175"/>
    <w:rsid w:val="00C43D83"/>
    <w:rsid w:val="00C454B9"/>
    <w:rsid w:val="00C4555D"/>
    <w:rsid w:val="00C46BE1"/>
    <w:rsid w:val="00C47B67"/>
    <w:rsid w:val="00C47D42"/>
    <w:rsid w:val="00C47F0D"/>
    <w:rsid w:val="00C502F7"/>
    <w:rsid w:val="00C50CE3"/>
    <w:rsid w:val="00C50DC4"/>
    <w:rsid w:val="00C52305"/>
    <w:rsid w:val="00C52463"/>
    <w:rsid w:val="00C52717"/>
    <w:rsid w:val="00C53D15"/>
    <w:rsid w:val="00C53D84"/>
    <w:rsid w:val="00C54A43"/>
    <w:rsid w:val="00C55482"/>
    <w:rsid w:val="00C55C61"/>
    <w:rsid w:val="00C567A0"/>
    <w:rsid w:val="00C56845"/>
    <w:rsid w:val="00C56E95"/>
    <w:rsid w:val="00C61C89"/>
    <w:rsid w:val="00C628C1"/>
    <w:rsid w:val="00C62D7E"/>
    <w:rsid w:val="00C63265"/>
    <w:rsid w:val="00C63658"/>
    <w:rsid w:val="00C636DD"/>
    <w:rsid w:val="00C638A5"/>
    <w:rsid w:val="00C63BCA"/>
    <w:rsid w:val="00C647ED"/>
    <w:rsid w:val="00C65553"/>
    <w:rsid w:val="00C66202"/>
    <w:rsid w:val="00C66895"/>
    <w:rsid w:val="00C66AC6"/>
    <w:rsid w:val="00C66DCD"/>
    <w:rsid w:val="00C700A1"/>
    <w:rsid w:val="00C700F6"/>
    <w:rsid w:val="00C706E4"/>
    <w:rsid w:val="00C70D69"/>
    <w:rsid w:val="00C71DEB"/>
    <w:rsid w:val="00C72CBD"/>
    <w:rsid w:val="00C72DD6"/>
    <w:rsid w:val="00C72F41"/>
    <w:rsid w:val="00C731A0"/>
    <w:rsid w:val="00C73360"/>
    <w:rsid w:val="00C734C9"/>
    <w:rsid w:val="00C73864"/>
    <w:rsid w:val="00C74273"/>
    <w:rsid w:val="00C749D5"/>
    <w:rsid w:val="00C75BDF"/>
    <w:rsid w:val="00C76191"/>
    <w:rsid w:val="00C76462"/>
    <w:rsid w:val="00C76709"/>
    <w:rsid w:val="00C7765A"/>
    <w:rsid w:val="00C77E24"/>
    <w:rsid w:val="00C8036B"/>
    <w:rsid w:val="00C803B0"/>
    <w:rsid w:val="00C806CF"/>
    <w:rsid w:val="00C80F0C"/>
    <w:rsid w:val="00C81341"/>
    <w:rsid w:val="00C81CCD"/>
    <w:rsid w:val="00C831E7"/>
    <w:rsid w:val="00C836C2"/>
    <w:rsid w:val="00C838FA"/>
    <w:rsid w:val="00C83AE2"/>
    <w:rsid w:val="00C83AFE"/>
    <w:rsid w:val="00C848BF"/>
    <w:rsid w:val="00C849A7"/>
    <w:rsid w:val="00C855A1"/>
    <w:rsid w:val="00C870C3"/>
    <w:rsid w:val="00C8713E"/>
    <w:rsid w:val="00C90720"/>
    <w:rsid w:val="00C90963"/>
    <w:rsid w:val="00C9191B"/>
    <w:rsid w:val="00C919D2"/>
    <w:rsid w:val="00C91FE4"/>
    <w:rsid w:val="00C928F3"/>
    <w:rsid w:val="00C9330D"/>
    <w:rsid w:val="00C9348F"/>
    <w:rsid w:val="00C94395"/>
    <w:rsid w:val="00C946EA"/>
    <w:rsid w:val="00C948F0"/>
    <w:rsid w:val="00C952C1"/>
    <w:rsid w:val="00C96B03"/>
    <w:rsid w:val="00C96F51"/>
    <w:rsid w:val="00C97355"/>
    <w:rsid w:val="00C97E96"/>
    <w:rsid w:val="00CA08EA"/>
    <w:rsid w:val="00CA13F7"/>
    <w:rsid w:val="00CA14B8"/>
    <w:rsid w:val="00CA1F7D"/>
    <w:rsid w:val="00CA1F96"/>
    <w:rsid w:val="00CA24C1"/>
    <w:rsid w:val="00CA2DB1"/>
    <w:rsid w:val="00CA301D"/>
    <w:rsid w:val="00CA49F1"/>
    <w:rsid w:val="00CA50D7"/>
    <w:rsid w:val="00CA50E7"/>
    <w:rsid w:val="00CA5123"/>
    <w:rsid w:val="00CA62F1"/>
    <w:rsid w:val="00CA718B"/>
    <w:rsid w:val="00CB1E25"/>
    <w:rsid w:val="00CB3871"/>
    <w:rsid w:val="00CB3C92"/>
    <w:rsid w:val="00CB43A3"/>
    <w:rsid w:val="00CB5010"/>
    <w:rsid w:val="00CB61D0"/>
    <w:rsid w:val="00CB61F1"/>
    <w:rsid w:val="00CB6C92"/>
    <w:rsid w:val="00CB7D08"/>
    <w:rsid w:val="00CC13F0"/>
    <w:rsid w:val="00CC1598"/>
    <w:rsid w:val="00CC1A85"/>
    <w:rsid w:val="00CC1CD5"/>
    <w:rsid w:val="00CC52CE"/>
    <w:rsid w:val="00CC549A"/>
    <w:rsid w:val="00CC5C5E"/>
    <w:rsid w:val="00CC7500"/>
    <w:rsid w:val="00CC7F0E"/>
    <w:rsid w:val="00CD2A3A"/>
    <w:rsid w:val="00CD2D60"/>
    <w:rsid w:val="00CD2F26"/>
    <w:rsid w:val="00CD3182"/>
    <w:rsid w:val="00CD35E9"/>
    <w:rsid w:val="00CD3C9F"/>
    <w:rsid w:val="00CD3FA5"/>
    <w:rsid w:val="00CD401F"/>
    <w:rsid w:val="00CD40FD"/>
    <w:rsid w:val="00CD4168"/>
    <w:rsid w:val="00CD5E7A"/>
    <w:rsid w:val="00CD6292"/>
    <w:rsid w:val="00CE13B6"/>
    <w:rsid w:val="00CE1BFA"/>
    <w:rsid w:val="00CE31D2"/>
    <w:rsid w:val="00CE3881"/>
    <w:rsid w:val="00CE4052"/>
    <w:rsid w:val="00CE4EB9"/>
    <w:rsid w:val="00CE5621"/>
    <w:rsid w:val="00CE747F"/>
    <w:rsid w:val="00CE7666"/>
    <w:rsid w:val="00CE7805"/>
    <w:rsid w:val="00CE7A9E"/>
    <w:rsid w:val="00CF073D"/>
    <w:rsid w:val="00CF0B24"/>
    <w:rsid w:val="00CF1035"/>
    <w:rsid w:val="00CF1525"/>
    <w:rsid w:val="00CF17D8"/>
    <w:rsid w:val="00CF181A"/>
    <w:rsid w:val="00CF1B47"/>
    <w:rsid w:val="00CF1BFE"/>
    <w:rsid w:val="00CF27F7"/>
    <w:rsid w:val="00CF47CB"/>
    <w:rsid w:val="00CF5183"/>
    <w:rsid w:val="00CF5B35"/>
    <w:rsid w:val="00CF5FDA"/>
    <w:rsid w:val="00CF67C2"/>
    <w:rsid w:val="00CF7452"/>
    <w:rsid w:val="00D01FF6"/>
    <w:rsid w:val="00D02D6C"/>
    <w:rsid w:val="00D02F7F"/>
    <w:rsid w:val="00D038B1"/>
    <w:rsid w:val="00D03BE7"/>
    <w:rsid w:val="00D04E1D"/>
    <w:rsid w:val="00D06283"/>
    <w:rsid w:val="00D0644F"/>
    <w:rsid w:val="00D06696"/>
    <w:rsid w:val="00D071FD"/>
    <w:rsid w:val="00D076B8"/>
    <w:rsid w:val="00D07BC1"/>
    <w:rsid w:val="00D10022"/>
    <w:rsid w:val="00D1087F"/>
    <w:rsid w:val="00D10B23"/>
    <w:rsid w:val="00D10F0D"/>
    <w:rsid w:val="00D11692"/>
    <w:rsid w:val="00D11C83"/>
    <w:rsid w:val="00D123BC"/>
    <w:rsid w:val="00D136B6"/>
    <w:rsid w:val="00D1462C"/>
    <w:rsid w:val="00D14B7C"/>
    <w:rsid w:val="00D152C5"/>
    <w:rsid w:val="00D153DD"/>
    <w:rsid w:val="00D15B42"/>
    <w:rsid w:val="00D15B7E"/>
    <w:rsid w:val="00D16D1E"/>
    <w:rsid w:val="00D170F1"/>
    <w:rsid w:val="00D179D4"/>
    <w:rsid w:val="00D17D96"/>
    <w:rsid w:val="00D17DA0"/>
    <w:rsid w:val="00D20487"/>
    <w:rsid w:val="00D2169F"/>
    <w:rsid w:val="00D21A94"/>
    <w:rsid w:val="00D22595"/>
    <w:rsid w:val="00D230C3"/>
    <w:rsid w:val="00D23A90"/>
    <w:rsid w:val="00D23D21"/>
    <w:rsid w:val="00D24485"/>
    <w:rsid w:val="00D24A04"/>
    <w:rsid w:val="00D24EA0"/>
    <w:rsid w:val="00D24EFE"/>
    <w:rsid w:val="00D25F93"/>
    <w:rsid w:val="00D26251"/>
    <w:rsid w:val="00D26400"/>
    <w:rsid w:val="00D2788E"/>
    <w:rsid w:val="00D27960"/>
    <w:rsid w:val="00D30320"/>
    <w:rsid w:val="00D303E4"/>
    <w:rsid w:val="00D3086A"/>
    <w:rsid w:val="00D30900"/>
    <w:rsid w:val="00D309E7"/>
    <w:rsid w:val="00D31862"/>
    <w:rsid w:val="00D3366F"/>
    <w:rsid w:val="00D338B0"/>
    <w:rsid w:val="00D338B9"/>
    <w:rsid w:val="00D33CB9"/>
    <w:rsid w:val="00D34EFB"/>
    <w:rsid w:val="00D357E3"/>
    <w:rsid w:val="00D3595A"/>
    <w:rsid w:val="00D372A6"/>
    <w:rsid w:val="00D373A2"/>
    <w:rsid w:val="00D379EA"/>
    <w:rsid w:val="00D37AE7"/>
    <w:rsid w:val="00D37E84"/>
    <w:rsid w:val="00D4003B"/>
    <w:rsid w:val="00D4013B"/>
    <w:rsid w:val="00D40CC4"/>
    <w:rsid w:val="00D4134D"/>
    <w:rsid w:val="00D425EC"/>
    <w:rsid w:val="00D42753"/>
    <w:rsid w:val="00D429CB"/>
    <w:rsid w:val="00D42AB4"/>
    <w:rsid w:val="00D445A7"/>
    <w:rsid w:val="00D46456"/>
    <w:rsid w:val="00D47E9A"/>
    <w:rsid w:val="00D47EAD"/>
    <w:rsid w:val="00D50149"/>
    <w:rsid w:val="00D50A5F"/>
    <w:rsid w:val="00D50E76"/>
    <w:rsid w:val="00D51F73"/>
    <w:rsid w:val="00D544F1"/>
    <w:rsid w:val="00D54ABA"/>
    <w:rsid w:val="00D54E52"/>
    <w:rsid w:val="00D55653"/>
    <w:rsid w:val="00D55BC6"/>
    <w:rsid w:val="00D57DB6"/>
    <w:rsid w:val="00D60F4F"/>
    <w:rsid w:val="00D61B31"/>
    <w:rsid w:val="00D63173"/>
    <w:rsid w:val="00D63313"/>
    <w:rsid w:val="00D63C53"/>
    <w:rsid w:val="00D64324"/>
    <w:rsid w:val="00D6502A"/>
    <w:rsid w:val="00D656E8"/>
    <w:rsid w:val="00D665EB"/>
    <w:rsid w:val="00D66829"/>
    <w:rsid w:val="00D67F8A"/>
    <w:rsid w:val="00D700EA"/>
    <w:rsid w:val="00D70616"/>
    <w:rsid w:val="00D710B0"/>
    <w:rsid w:val="00D72582"/>
    <w:rsid w:val="00D753E4"/>
    <w:rsid w:val="00D75BE1"/>
    <w:rsid w:val="00D75DF1"/>
    <w:rsid w:val="00D75E7B"/>
    <w:rsid w:val="00D76907"/>
    <w:rsid w:val="00D77047"/>
    <w:rsid w:val="00D776A5"/>
    <w:rsid w:val="00D776EA"/>
    <w:rsid w:val="00D77D6F"/>
    <w:rsid w:val="00D77DE7"/>
    <w:rsid w:val="00D8035C"/>
    <w:rsid w:val="00D80E5B"/>
    <w:rsid w:val="00D81DF7"/>
    <w:rsid w:val="00D8218D"/>
    <w:rsid w:val="00D8339A"/>
    <w:rsid w:val="00D83AF2"/>
    <w:rsid w:val="00D83C23"/>
    <w:rsid w:val="00D8401D"/>
    <w:rsid w:val="00D842CA"/>
    <w:rsid w:val="00D84CDB"/>
    <w:rsid w:val="00D85FBC"/>
    <w:rsid w:val="00D861BD"/>
    <w:rsid w:val="00D86A69"/>
    <w:rsid w:val="00D86AA2"/>
    <w:rsid w:val="00D87250"/>
    <w:rsid w:val="00D87765"/>
    <w:rsid w:val="00D8778D"/>
    <w:rsid w:val="00D87A48"/>
    <w:rsid w:val="00D87D46"/>
    <w:rsid w:val="00D908A1"/>
    <w:rsid w:val="00D908BC"/>
    <w:rsid w:val="00D91075"/>
    <w:rsid w:val="00D913EF"/>
    <w:rsid w:val="00D91F31"/>
    <w:rsid w:val="00D92FFE"/>
    <w:rsid w:val="00D938C1"/>
    <w:rsid w:val="00D944E7"/>
    <w:rsid w:val="00D9548C"/>
    <w:rsid w:val="00D95596"/>
    <w:rsid w:val="00D95719"/>
    <w:rsid w:val="00D9587D"/>
    <w:rsid w:val="00D95942"/>
    <w:rsid w:val="00D95A9E"/>
    <w:rsid w:val="00D9655F"/>
    <w:rsid w:val="00DA049A"/>
    <w:rsid w:val="00DA0520"/>
    <w:rsid w:val="00DA0FB1"/>
    <w:rsid w:val="00DA1895"/>
    <w:rsid w:val="00DA1FBA"/>
    <w:rsid w:val="00DA23EA"/>
    <w:rsid w:val="00DA2583"/>
    <w:rsid w:val="00DA3E24"/>
    <w:rsid w:val="00DA40D7"/>
    <w:rsid w:val="00DA5924"/>
    <w:rsid w:val="00DA75B6"/>
    <w:rsid w:val="00DA76DB"/>
    <w:rsid w:val="00DA7D81"/>
    <w:rsid w:val="00DB02EA"/>
    <w:rsid w:val="00DB0A0E"/>
    <w:rsid w:val="00DB0FFB"/>
    <w:rsid w:val="00DB1AD3"/>
    <w:rsid w:val="00DB1DF8"/>
    <w:rsid w:val="00DB29A4"/>
    <w:rsid w:val="00DB3628"/>
    <w:rsid w:val="00DB3CD6"/>
    <w:rsid w:val="00DB42F3"/>
    <w:rsid w:val="00DB4344"/>
    <w:rsid w:val="00DB4540"/>
    <w:rsid w:val="00DB45AA"/>
    <w:rsid w:val="00DB5C3F"/>
    <w:rsid w:val="00DB5D25"/>
    <w:rsid w:val="00DB5E95"/>
    <w:rsid w:val="00DB6305"/>
    <w:rsid w:val="00DB67AD"/>
    <w:rsid w:val="00DB7EA4"/>
    <w:rsid w:val="00DC066C"/>
    <w:rsid w:val="00DC09B8"/>
    <w:rsid w:val="00DC12E5"/>
    <w:rsid w:val="00DC1A4B"/>
    <w:rsid w:val="00DC1CAC"/>
    <w:rsid w:val="00DC3A73"/>
    <w:rsid w:val="00DC3D09"/>
    <w:rsid w:val="00DC4130"/>
    <w:rsid w:val="00DC4413"/>
    <w:rsid w:val="00DC4EF2"/>
    <w:rsid w:val="00DC6387"/>
    <w:rsid w:val="00DD07BA"/>
    <w:rsid w:val="00DD0D19"/>
    <w:rsid w:val="00DD1594"/>
    <w:rsid w:val="00DD2627"/>
    <w:rsid w:val="00DD2AAA"/>
    <w:rsid w:val="00DD36AC"/>
    <w:rsid w:val="00DD37B4"/>
    <w:rsid w:val="00DD3B5B"/>
    <w:rsid w:val="00DD44A6"/>
    <w:rsid w:val="00DD5288"/>
    <w:rsid w:val="00DD53C0"/>
    <w:rsid w:val="00DD639B"/>
    <w:rsid w:val="00DD789B"/>
    <w:rsid w:val="00DD78AF"/>
    <w:rsid w:val="00DE00CC"/>
    <w:rsid w:val="00DE0125"/>
    <w:rsid w:val="00DE07A5"/>
    <w:rsid w:val="00DE0D19"/>
    <w:rsid w:val="00DE118D"/>
    <w:rsid w:val="00DE128B"/>
    <w:rsid w:val="00DE14EA"/>
    <w:rsid w:val="00DE1522"/>
    <w:rsid w:val="00DE26C3"/>
    <w:rsid w:val="00DE2750"/>
    <w:rsid w:val="00DE2A08"/>
    <w:rsid w:val="00DE3614"/>
    <w:rsid w:val="00DE3B62"/>
    <w:rsid w:val="00DE6385"/>
    <w:rsid w:val="00DE6746"/>
    <w:rsid w:val="00DE6966"/>
    <w:rsid w:val="00DE69D9"/>
    <w:rsid w:val="00DE6EDB"/>
    <w:rsid w:val="00DE76B9"/>
    <w:rsid w:val="00DF061D"/>
    <w:rsid w:val="00DF0678"/>
    <w:rsid w:val="00DF06F5"/>
    <w:rsid w:val="00DF0B30"/>
    <w:rsid w:val="00DF0DBB"/>
    <w:rsid w:val="00DF16A5"/>
    <w:rsid w:val="00DF214D"/>
    <w:rsid w:val="00DF2670"/>
    <w:rsid w:val="00DF30E1"/>
    <w:rsid w:val="00DF3282"/>
    <w:rsid w:val="00DF33A2"/>
    <w:rsid w:val="00DF3FC5"/>
    <w:rsid w:val="00DF40B7"/>
    <w:rsid w:val="00DF658D"/>
    <w:rsid w:val="00DF69A4"/>
    <w:rsid w:val="00DF6DE6"/>
    <w:rsid w:val="00DF7AF9"/>
    <w:rsid w:val="00E01553"/>
    <w:rsid w:val="00E01DE7"/>
    <w:rsid w:val="00E03381"/>
    <w:rsid w:val="00E036BA"/>
    <w:rsid w:val="00E054C1"/>
    <w:rsid w:val="00E0568C"/>
    <w:rsid w:val="00E06084"/>
    <w:rsid w:val="00E102BB"/>
    <w:rsid w:val="00E10DAE"/>
    <w:rsid w:val="00E10E41"/>
    <w:rsid w:val="00E10F67"/>
    <w:rsid w:val="00E11180"/>
    <w:rsid w:val="00E118A9"/>
    <w:rsid w:val="00E1223D"/>
    <w:rsid w:val="00E12288"/>
    <w:rsid w:val="00E124C2"/>
    <w:rsid w:val="00E125EC"/>
    <w:rsid w:val="00E138E3"/>
    <w:rsid w:val="00E145EB"/>
    <w:rsid w:val="00E15780"/>
    <w:rsid w:val="00E15A55"/>
    <w:rsid w:val="00E15D0D"/>
    <w:rsid w:val="00E1671D"/>
    <w:rsid w:val="00E167AB"/>
    <w:rsid w:val="00E176A7"/>
    <w:rsid w:val="00E20AC5"/>
    <w:rsid w:val="00E2252F"/>
    <w:rsid w:val="00E25250"/>
    <w:rsid w:val="00E25367"/>
    <w:rsid w:val="00E254A0"/>
    <w:rsid w:val="00E256F1"/>
    <w:rsid w:val="00E26199"/>
    <w:rsid w:val="00E2665D"/>
    <w:rsid w:val="00E277C9"/>
    <w:rsid w:val="00E302B6"/>
    <w:rsid w:val="00E30B57"/>
    <w:rsid w:val="00E317EF"/>
    <w:rsid w:val="00E31967"/>
    <w:rsid w:val="00E31984"/>
    <w:rsid w:val="00E32BAF"/>
    <w:rsid w:val="00E32DF0"/>
    <w:rsid w:val="00E33827"/>
    <w:rsid w:val="00E33D56"/>
    <w:rsid w:val="00E347D0"/>
    <w:rsid w:val="00E34E4D"/>
    <w:rsid w:val="00E3544F"/>
    <w:rsid w:val="00E36BE6"/>
    <w:rsid w:val="00E36D38"/>
    <w:rsid w:val="00E4002B"/>
    <w:rsid w:val="00E4018D"/>
    <w:rsid w:val="00E40614"/>
    <w:rsid w:val="00E4076C"/>
    <w:rsid w:val="00E408D3"/>
    <w:rsid w:val="00E40ACE"/>
    <w:rsid w:val="00E4135F"/>
    <w:rsid w:val="00E415B3"/>
    <w:rsid w:val="00E419A6"/>
    <w:rsid w:val="00E41E51"/>
    <w:rsid w:val="00E42DBA"/>
    <w:rsid w:val="00E4335C"/>
    <w:rsid w:val="00E4350A"/>
    <w:rsid w:val="00E44189"/>
    <w:rsid w:val="00E45922"/>
    <w:rsid w:val="00E477D5"/>
    <w:rsid w:val="00E50405"/>
    <w:rsid w:val="00E50639"/>
    <w:rsid w:val="00E50B39"/>
    <w:rsid w:val="00E515A7"/>
    <w:rsid w:val="00E52185"/>
    <w:rsid w:val="00E524AD"/>
    <w:rsid w:val="00E52DE8"/>
    <w:rsid w:val="00E54025"/>
    <w:rsid w:val="00E55E3B"/>
    <w:rsid w:val="00E55ECE"/>
    <w:rsid w:val="00E56458"/>
    <w:rsid w:val="00E57549"/>
    <w:rsid w:val="00E57813"/>
    <w:rsid w:val="00E57D33"/>
    <w:rsid w:val="00E6040A"/>
    <w:rsid w:val="00E607A0"/>
    <w:rsid w:val="00E60903"/>
    <w:rsid w:val="00E61ACE"/>
    <w:rsid w:val="00E61DE4"/>
    <w:rsid w:val="00E62267"/>
    <w:rsid w:val="00E6272B"/>
    <w:rsid w:val="00E6335E"/>
    <w:rsid w:val="00E63568"/>
    <w:rsid w:val="00E64432"/>
    <w:rsid w:val="00E65AF8"/>
    <w:rsid w:val="00E65EF7"/>
    <w:rsid w:val="00E665A1"/>
    <w:rsid w:val="00E673E2"/>
    <w:rsid w:val="00E702BD"/>
    <w:rsid w:val="00E70459"/>
    <w:rsid w:val="00E719CB"/>
    <w:rsid w:val="00E71A6A"/>
    <w:rsid w:val="00E72147"/>
    <w:rsid w:val="00E72C4C"/>
    <w:rsid w:val="00E72D14"/>
    <w:rsid w:val="00E74CB4"/>
    <w:rsid w:val="00E74DC7"/>
    <w:rsid w:val="00E74DE4"/>
    <w:rsid w:val="00E75017"/>
    <w:rsid w:val="00E750EF"/>
    <w:rsid w:val="00E751E3"/>
    <w:rsid w:val="00E759A9"/>
    <w:rsid w:val="00E75E70"/>
    <w:rsid w:val="00E7601B"/>
    <w:rsid w:val="00E775B1"/>
    <w:rsid w:val="00E7780D"/>
    <w:rsid w:val="00E77C62"/>
    <w:rsid w:val="00E801B1"/>
    <w:rsid w:val="00E80836"/>
    <w:rsid w:val="00E80A04"/>
    <w:rsid w:val="00E8172B"/>
    <w:rsid w:val="00E81ABF"/>
    <w:rsid w:val="00E82584"/>
    <w:rsid w:val="00E82B8E"/>
    <w:rsid w:val="00E82CE2"/>
    <w:rsid w:val="00E82FC3"/>
    <w:rsid w:val="00E832A0"/>
    <w:rsid w:val="00E83680"/>
    <w:rsid w:val="00E83EF9"/>
    <w:rsid w:val="00E84442"/>
    <w:rsid w:val="00E85062"/>
    <w:rsid w:val="00E85F4A"/>
    <w:rsid w:val="00E8602E"/>
    <w:rsid w:val="00E9088C"/>
    <w:rsid w:val="00E90B44"/>
    <w:rsid w:val="00E90E07"/>
    <w:rsid w:val="00E910E9"/>
    <w:rsid w:val="00E92309"/>
    <w:rsid w:val="00E9311D"/>
    <w:rsid w:val="00E9397A"/>
    <w:rsid w:val="00E93D3F"/>
    <w:rsid w:val="00E94575"/>
    <w:rsid w:val="00E94A32"/>
    <w:rsid w:val="00E94CCC"/>
    <w:rsid w:val="00E95D03"/>
    <w:rsid w:val="00E95E6C"/>
    <w:rsid w:val="00E973D8"/>
    <w:rsid w:val="00E97CA3"/>
    <w:rsid w:val="00EA017A"/>
    <w:rsid w:val="00EA044A"/>
    <w:rsid w:val="00EA0876"/>
    <w:rsid w:val="00EA1724"/>
    <w:rsid w:val="00EA2B76"/>
    <w:rsid w:val="00EA2E9F"/>
    <w:rsid w:val="00EA2F09"/>
    <w:rsid w:val="00EA3958"/>
    <w:rsid w:val="00EA3974"/>
    <w:rsid w:val="00EA42EF"/>
    <w:rsid w:val="00EA4634"/>
    <w:rsid w:val="00EA4833"/>
    <w:rsid w:val="00EA48CE"/>
    <w:rsid w:val="00EA63E9"/>
    <w:rsid w:val="00EA69BE"/>
    <w:rsid w:val="00EA6B5B"/>
    <w:rsid w:val="00EB0027"/>
    <w:rsid w:val="00EB01A0"/>
    <w:rsid w:val="00EB049D"/>
    <w:rsid w:val="00EB1394"/>
    <w:rsid w:val="00EB1794"/>
    <w:rsid w:val="00EB1BF5"/>
    <w:rsid w:val="00EB1CD3"/>
    <w:rsid w:val="00EB2B6D"/>
    <w:rsid w:val="00EB32B1"/>
    <w:rsid w:val="00EB3CCC"/>
    <w:rsid w:val="00EB44B5"/>
    <w:rsid w:val="00EB4AEE"/>
    <w:rsid w:val="00EB5923"/>
    <w:rsid w:val="00EB5BAD"/>
    <w:rsid w:val="00EB62CD"/>
    <w:rsid w:val="00EB6CF5"/>
    <w:rsid w:val="00EB6D8F"/>
    <w:rsid w:val="00EB763C"/>
    <w:rsid w:val="00EB7A5F"/>
    <w:rsid w:val="00EC03C1"/>
    <w:rsid w:val="00EC06E1"/>
    <w:rsid w:val="00EC08E1"/>
    <w:rsid w:val="00EC189A"/>
    <w:rsid w:val="00EC210B"/>
    <w:rsid w:val="00EC2667"/>
    <w:rsid w:val="00EC2F26"/>
    <w:rsid w:val="00EC4C4D"/>
    <w:rsid w:val="00EC4EF1"/>
    <w:rsid w:val="00EC50B9"/>
    <w:rsid w:val="00EC64F1"/>
    <w:rsid w:val="00EC73E8"/>
    <w:rsid w:val="00ED22B0"/>
    <w:rsid w:val="00ED4292"/>
    <w:rsid w:val="00ED466F"/>
    <w:rsid w:val="00ED5735"/>
    <w:rsid w:val="00ED6DA1"/>
    <w:rsid w:val="00EE2274"/>
    <w:rsid w:val="00EE2A8A"/>
    <w:rsid w:val="00EE318B"/>
    <w:rsid w:val="00EE32EF"/>
    <w:rsid w:val="00EE34D9"/>
    <w:rsid w:val="00EE4221"/>
    <w:rsid w:val="00EE5756"/>
    <w:rsid w:val="00EE6E2E"/>
    <w:rsid w:val="00EE6FFB"/>
    <w:rsid w:val="00EE7257"/>
    <w:rsid w:val="00EF0CD5"/>
    <w:rsid w:val="00EF1418"/>
    <w:rsid w:val="00EF1478"/>
    <w:rsid w:val="00EF14BB"/>
    <w:rsid w:val="00EF1942"/>
    <w:rsid w:val="00EF1D53"/>
    <w:rsid w:val="00EF29EE"/>
    <w:rsid w:val="00EF3720"/>
    <w:rsid w:val="00EF3B35"/>
    <w:rsid w:val="00EF467D"/>
    <w:rsid w:val="00EF5058"/>
    <w:rsid w:val="00EF6569"/>
    <w:rsid w:val="00EF6707"/>
    <w:rsid w:val="00EF694E"/>
    <w:rsid w:val="00EF6C08"/>
    <w:rsid w:val="00EF776D"/>
    <w:rsid w:val="00F00233"/>
    <w:rsid w:val="00F00DA2"/>
    <w:rsid w:val="00F00EB8"/>
    <w:rsid w:val="00F015C4"/>
    <w:rsid w:val="00F02707"/>
    <w:rsid w:val="00F029FE"/>
    <w:rsid w:val="00F02B76"/>
    <w:rsid w:val="00F02FCE"/>
    <w:rsid w:val="00F030AC"/>
    <w:rsid w:val="00F0310A"/>
    <w:rsid w:val="00F032A8"/>
    <w:rsid w:val="00F03394"/>
    <w:rsid w:val="00F03CAF"/>
    <w:rsid w:val="00F03E24"/>
    <w:rsid w:val="00F03F51"/>
    <w:rsid w:val="00F041BD"/>
    <w:rsid w:val="00F042CB"/>
    <w:rsid w:val="00F04AFB"/>
    <w:rsid w:val="00F04E3C"/>
    <w:rsid w:val="00F055FA"/>
    <w:rsid w:val="00F05998"/>
    <w:rsid w:val="00F05B07"/>
    <w:rsid w:val="00F06301"/>
    <w:rsid w:val="00F06BEB"/>
    <w:rsid w:val="00F07781"/>
    <w:rsid w:val="00F078D7"/>
    <w:rsid w:val="00F07E33"/>
    <w:rsid w:val="00F1181A"/>
    <w:rsid w:val="00F12848"/>
    <w:rsid w:val="00F12BA7"/>
    <w:rsid w:val="00F131C0"/>
    <w:rsid w:val="00F13E0E"/>
    <w:rsid w:val="00F140B4"/>
    <w:rsid w:val="00F1445A"/>
    <w:rsid w:val="00F15937"/>
    <w:rsid w:val="00F15A6D"/>
    <w:rsid w:val="00F15F78"/>
    <w:rsid w:val="00F1717C"/>
    <w:rsid w:val="00F177B7"/>
    <w:rsid w:val="00F17E5B"/>
    <w:rsid w:val="00F17EC9"/>
    <w:rsid w:val="00F2013B"/>
    <w:rsid w:val="00F20B88"/>
    <w:rsid w:val="00F20E4E"/>
    <w:rsid w:val="00F2135B"/>
    <w:rsid w:val="00F21936"/>
    <w:rsid w:val="00F222EB"/>
    <w:rsid w:val="00F22695"/>
    <w:rsid w:val="00F22A33"/>
    <w:rsid w:val="00F22F3B"/>
    <w:rsid w:val="00F242BA"/>
    <w:rsid w:val="00F24873"/>
    <w:rsid w:val="00F255BF"/>
    <w:rsid w:val="00F2568D"/>
    <w:rsid w:val="00F2638C"/>
    <w:rsid w:val="00F26AD4"/>
    <w:rsid w:val="00F270CD"/>
    <w:rsid w:val="00F27A2D"/>
    <w:rsid w:val="00F27D97"/>
    <w:rsid w:val="00F27FD3"/>
    <w:rsid w:val="00F30A98"/>
    <w:rsid w:val="00F30D2E"/>
    <w:rsid w:val="00F31026"/>
    <w:rsid w:val="00F317B8"/>
    <w:rsid w:val="00F31B50"/>
    <w:rsid w:val="00F31D12"/>
    <w:rsid w:val="00F32602"/>
    <w:rsid w:val="00F32CBF"/>
    <w:rsid w:val="00F34C66"/>
    <w:rsid w:val="00F35D32"/>
    <w:rsid w:val="00F36BDA"/>
    <w:rsid w:val="00F36E21"/>
    <w:rsid w:val="00F405B0"/>
    <w:rsid w:val="00F40A2D"/>
    <w:rsid w:val="00F41883"/>
    <w:rsid w:val="00F41C69"/>
    <w:rsid w:val="00F4201B"/>
    <w:rsid w:val="00F4419F"/>
    <w:rsid w:val="00F441A3"/>
    <w:rsid w:val="00F44615"/>
    <w:rsid w:val="00F448D5"/>
    <w:rsid w:val="00F44917"/>
    <w:rsid w:val="00F45596"/>
    <w:rsid w:val="00F457C0"/>
    <w:rsid w:val="00F468A4"/>
    <w:rsid w:val="00F470F0"/>
    <w:rsid w:val="00F4742B"/>
    <w:rsid w:val="00F5047C"/>
    <w:rsid w:val="00F508FC"/>
    <w:rsid w:val="00F50BDD"/>
    <w:rsid w:val="00F50CF7"/>
    <w:rsid w:val="00F51088"/>
    <w:rsid w:val="00F510FA"/>
    <w:rsid w:val="00F52A13"/>
    <w:rsid w:val="00F52AD6"/>
    <w:rsid w:val="00F54629"/>
    <w:rsid w:val="00F557CD"/>
    <w:rsid w:val="00F569C5"/>
    <w:rsid w:val="00F57E7D"/>
    <w:rsid w:val="00F607B6"/>
    <w:rsid w:val="00F60A58"/>
    <w:rsid w:val="00F61DE1"/>
    <w:rsid w:val="00F63AC4"/>
    <w:rsid w:val="00F64F62"/>
    <w:rsid w:val="00F65800"/>
    <w:rsid w:val="00F666ED"/>
    <w:rsid w:val="00F67C35"/>
    <w:rsid w:val="00F70BD2"/>
    <w:rsid w:val="00F71327"/>
    <w:rsid w:val="00F71571"/>
    <w:rsid w:val="00F71B71"/>
    <w:rsid w:val="00F72C45"/>
    <w:rsid w:val="00F7314D"/>
    <w:rsid w:val="00F7537B"/>
    <w:rsid w:val="00F76400"/>
    <w:rsid w:val="00F76C53"/>
    <w:rsid w:val="00F76CD8"/>
    <w:rsid w:val="00F80418"/>
    <w:rsid w:val="00F805DF"/>
    <w:rsid w:val="00F81023"/>
    <w:rsid w:val="00F81A93"/>
    <w:rsid w:val="00F82276"/>
    <w:rsid w:val="00F83837"/>
    <w:rsid w:val="00F83EDF"/>
    <w:rsid w:val="00F83FDC"/>
    <w:rsid w:val="00F84280"/>
    <w:rsid w:val="00F84CB0"/>
    <w:rsid w:val="00F850EC"/>
    <w:rsid w:val="00F85BE6"/>
    <w:rsid w:val="00F861DA"/>
    <w:rsid w:val="00F86283"/>
    <w:rsid w:val="00F86958"/>
    <w:rsid w:val="00F869EF"/>
    <w:rsid w:val="00F86C04"/>
    <w:rsid w:val="00F86D50"/>
    <w:rsid w:val="00F86FF8"/>
    <w:rsid w:val="00F90380"/>
    <w:rsid w:val="00F9146E"/>
    <w:rsid w:val="00F91533"/>
    <w:rsid w:val="00F91B01"/>
    <w:rsid w:val="00F91BA2"/>
    <w:rsid w:val="00F92196"/>
    <w:rsid w:val="00F922B7"/>
    <w:rsid w:val="00F92415"/>
    <w:rsid w:val="00F925F8"/>
    <w:rsid w:val="00F930EF"/>
    <w:rsid w:val="00F94050"/>
    <w:rsid w:val="00F95AB4"/>
    <w:rsid w:val="00F95F3D"/>
    <w:rsid w:val="00F96092"/>
    <w:rsid w:val="00F97B29"/>
    <w:rsid w:val="00FA0998"/>
    <w:rsid w:val="00FA0E8F"/>
    <w:rsid w:val="00FA1791"/>
    <w:rsid w:val="00FA1861"/>
    <w:rsid w:val="00FA1BF3"/>
    <w:rsid w:val="00FA23FE"/>
    <w:rsid w:val="00FA3179"/>
    <w:rsid w:val="00FA3536"/>
    <w:rsid w:val="00FA35CA"/>
    <w:rsid w:val="00FA38D3"/>
    <w:rsid w:val="00FA3A1E"/>
    <w:rsid w:val="00FA5781"/>
    <w:rsid w:val="00FA593F"/>
    <w:rsid w:val="00FA5D42"/>
    <w:rsid w:val="00FA6532"/>
    <w:rsid w:val="00FA69A0"/>
    <w:rsid w:val="00FB0623"/>
    <w:rsid w:val="00FB0B92"/>
    <w:rsid w:val="00FB0D0C"/>
    <w:rsid w:val="00FB0FBB"/>
    <w:rsid w:val="00FB1542"/>
    <w:rsid w:val="00FB1E2A"/>
    <w:rsid w:val="00FB4E40"/>
    <w:rsid w:val="00FB5706"/>
    <w:rsid w:val="00FB63F8"/>
    <w:rsid w:val="00FB6852"/>
    <w:rsid w:val="00FB6B02"/>
    <w:rsid w:val="00FB7881"/>
    <w:rsid w:val="00FB7B52"/>
    <w:rsid w:val="00FB7F9F"/>
    <w:rsid w:val="00FC0580"/>
    <w:rsid w:val="00FC0910"/>
    <w:rsid w:val="00FC1A00"/>
    <w:rsid w:val="00FC2354"/>
    <w:rsid w:val="00FC2CCE"/>
    <w:rsid w:val="00FC45E3"/>
    <w:rsid w:val="00FC4AC7"/>
    <w:rsid w:val="00FC4B37"/>
    <w:rsid w:val="00FC508E"/>
    <w:rsid w:val="00FC675C"/>
    <w:rsid w:val="00FC68B4"/>
    <w:rsid w:val="00FC71FF"/>
    <w:rsid w:val="00FC721E"/>
    <w:rsid w:val="00FD0164"/>
    <w:rsid w:val="00FD049D"/>
    <w:rsid w:val="00FD12A5"/>
    <w:rsid w:val="00FD297B"/>
    <w:rsid w:val="00FD2E1C"/>
    <w:rsid w:val="00FD2F05"/>
    <w:rsid w:val="00FD361F"/>
    <w:rsid w:val="00FD36E5"/>
    <w:rsid w:val="00FD4168"/>
    <w:rsid w:val="00FD4392"/>
    <w:rsid w:val="00FD6536"/>
    <w:rsid w:val="00FD6557"/>
    <w:rsid w:val="00FD66DC"/>
    <w:rsid w:val="00FD6F10"/>
    <w:rsid w:val="00FD7201"/>
    <w:rsid w:val="00FD7AD8"/>
    <w:rsid w:val="00FE0B81"/>
    <w:rsid w:val="00FE25F8"/>
    <w:rsid w:val="00FE27F5"/>
    <w:rsid w:val="00FE41E2"/>
    <w:rsid w:val="00FE4755"/>
    <w:rsid w:val="00FE50BF"/>
    <w:rsid w:val="00FE5782"/>
    <w:rsid w:val="00FE5B7B"/>
    <w:rsid w:val="00FE5C47"/>
    <w:rsid w:val="00FE5FA7"/>
    <w:rsid w:val="00FE5FF0"/>
    <w:rsid w:val="00FE7DDA"/>
    <w:rsid w:val="00FF079C"/>
    <w:rsid w:val="00FF1716"/>
    <w:rsid w:val="00FF18A3"/>
    <w:rsid w:val="00FF1A77"/>
    <w:rsid w:val="00FF1EA0"/>
    <w:rsid w:val="00FF1F5F"/>
    <w:rsid w:val="00FF2488"/>
    <w:rsid w:val="00FF2490"/>
    <w:rsid w:val="00FF2C2F"/>
    <w:rsid w:val="00FF3854"/>
    <w:rsid w:val="00FF538A"/>
    <w:rsid w:val="00FF5FB8"/>
    <w:rsid w:val="00FF608E"/>
    <w:rsid w:val="00FF60E2"/>
    <w:rsid w:val="00FF6279"/>
    <w:rsid w:val="00FF6434"/>
    <w:rsid w:val="00FF68AB"/>
    <w:rsid w:val="00FF6C13"/>
    <w:rsid w:val="00FF6F4C"/>
    <w:rsid w:val="00FF77A6"/>
    <w:rsid w:val="00FF7A9C"/>
    <w:rsid w:val="00FF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C46E"/>
  <w15:docId w15:val="{8AA9B0F8-3F67-499C-B703-C0713C11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42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4C1"/>
    <w:pPr>
      <w:spacing w:after="0" w:line="240" w:lineRule="auto"/>
    </w:pPr>
    <w:rPr>
      <w:rFonts w:eastAsiaTheme="minorEastAsia"/>
    </w:rPr>
  </w:style>
  <w:style w:type="paragraph" w:customStyle="1" w:styleId="Style">
    <w:name w:val="Style"/>
    <w:rsid w:val="00E054C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054C1"/>
    <w:pPr>
      <w:ind w:left="720"/>
      <w:contextualSpacing/>
    </w:pPr>
  </w:style>
  <w:style w:type="paragraph" w:styleId="FootnoteText">
    <w:name w:val="footnote text"/>
    <w:basedOn w:val="Normal"/>
    <w:link w:val="FootnoteTextChar"/>
    <w:uiPriority w:val="99"/>
    <w:unhideWhenUsed/>
    <w:rsid w:val="00E054C1"/>
    <w:pPr>
      <w:spacing w:after="0" w:line="240" w:lineRule="auto"/>
    </w:pPr>
    <w:rPr>
      <w:sz w:val="20"/>
      <w:szCs w:val="20"/>
    </w:rPr>
  </w:style>
  <w:style w:type="character" w:customStyle="1" w:styleId="FootnoteTextChar">
    <w:name w:val="Footnote Text Char"/>
    <w:basedOn w:val="DefaultParagraphFont"/>
    <w:link w:val="FootnoteText"/>
    <w:uiPriority w:val="99"/>
    <w:rsid w:val="00E054C1"/>
    <w:rPr>
      <w:rFonts w:eastAsiaTheme="minorEastAsia"/>
      <w:sz w:val="20"/>
      <w:szCs w:val="20"/>
    </w:rPr>
  </w:style>
  <w:style w:type="character" w:styleId="FootnoteReference">
    <w:name w:val="footnote reference"/>
    <w:basedOn w:val="DefaultParagraphFont"/>
    <w:uiPriority w:val="99"/>
    <w:semiHidden/>
    <w:unhideWhenUsed/>
    <w:rsid w:val="00E054C1"/>
    <w:rPr>
      <w:vertAlign w:val="superscript"/>
    </w:rPr>
  </w:style>
  <w:style w:type="character" w:customStyle="1" w:styleId="databold1">
    <w:name w:val="data_bold1"/>
    <w:basedOn w:val="DefaultParagraphFont"/>
    <w:rsid w:val="00E054C1"/>
    <w:rPr>
      <w:b/>
      <w:bCs/>
    </w:rPr>
  </w:style>
  <w:style w:type="character" w:customStyle="1" w:styleId="BodyText2Char">
    <w:name w:val="Body Text 2 Char"/>
    <w:basedOn w:val="DefaultParagraphFont"/>
    <w:link w:val="BodyText2"/>
    <w:semiHidden/>
    <w:rsid w:val="00E054C1"/>
    <w:rPr>
      <w:rFonts w:ascii="Times New Roman Italic" w:eastAsia="Times New Roman" w:hAnsi="Times New Roman Italic" w:cs="Times New Roman"/>
      <w:i/>
      <w:sz w:val="32"/>
      <w:szCs w:val="20"/>
    </w:rPr>
  </w:style>
  <w:style w:type="paragraph" w:styleId="BodyText2">
    <w:name w:val="Body Text 2"/>
    <w:basedOn w:val="Normal"/>
    <w:link w:val="BodyText2Char"/>
    <w:semiHidden/>
    <w:rsid w:val="00E054C1"/>
    <w:pPr>
      <w:widowControl w:val="0"/>
      <w:autoSpaceDE w:val="0"/>
      <w:autoSpaceDN w:val="0"/>
      <w:adjustRightInd w:val="0"/>
      <w:spacing w:after="0" w:line="240" w:lineRule="auto"/>
    </w:pPr>
    <w:rPr>
      <w:rFonts w:ascii="Times New Roman Italic" w:eastAsia="Times New Roman" w:hAnsi="Times New Roman Italic" w:cs="Times New Roman"/>
      <w:i/>
      <w:sz w:val="32"/>
      <w:szCs w:val="20"/>
    </w:rPr>
  </w:style>
  <w:style w:type="character" w:customStyle="1" w:styleId="BodyText2Char1">
    <w:name w:val="Body Text 2 Char1"/>
    <w:basedOn w:val="DefaultParagraphFont"/>
    <w:uiPriority w:val="99"/>
    <w:semiHidden/>
    <w:rsid w:val="00E054C1"/>
    <w:rPr>
      <w:rFonts w:eastAsiaTheme="minorEastAsia"/>
    </w:rPr>
  </w:style>
  <w:style w:type="paragraph" w:styleId="Footer">
    <w:name w:val="footer"/>
    <w:basedOn w:val="Normal"/>
    <w:link w:val="FooterChar"/>
    <w:uiPriority w:val="99"/>
    <w:unhideWhenUsed/>
    <w:rsid w:val="00E054C1"/>
    <w:pPr>
      <w:tabs>
        <w:tab w:val="center" w:pos="4680"/>
        <w:tab w:val="right" w:pos="9360"/>
      </w:tabs>
      <w:spacing w:after="0" w:line="240" w:lineRule="auto"/>
    </w:pPr>
    <w:rPr>
      <w:rFonts w:ascii="Times" w:eastAsia="Times" w:hAnsi="Times" w:cs="Times New Roman"/>
      <w:sz w:val="24"/>
      <w:szCs w:val="20"/>
    </w:rPr>
  </w:style>
  <w:style w:type="character" w:customStyle="1" w:styleId="FooterChar">
    <w:name w:val="Footer Char"/>
    <w:basedOn w:val="DefaultParagraphFont"/>
    <w:link w:val="Footer"/>
    <w:uiPriority w:val="99"/>
    <w:rsid w:val="00E054C1"/>
    <w:rPr>
      <w:rFonts w:ascii="Times" w:eastAsia="Times" w:hAnsi="Times" w:cs="Times New Roman"/>
      <w:sz w:val="24"/>
      <w:szCs w:val="20"/>
    </w:rPr>
  </w:style>
  <w:style w:type="character" w:styleId="CommentReference">
    <w:name w:val="annotation reference"/>
    <w:basedOn w:val="DefaultParagraphFont"/>
    <w:uiPriority w:val="99"/>
    <w:semiHidden/>
    <w:unhideWhenUsed/>
    <w:rsid w:val="00E054C1"/>
    <w:rPr>
      <w:sz w:val="16"/>
      <w:szCs w:val="16"/>
    </w:rPr>
  </w:style>
  <w:style w:type="paragraph" w:styleId="CommentText">
    <w:name w:val="annotation text"/>
    <w:basedOn w:val="Normal"/>
    <w:link w:val="CommentTextChar"/>
    <w:uiPriority w:val="99"/>
    <w:semiHidden/>
    <w:unhideWhenUsed/>
    <w:rsid w:val="00E054C1"/>
    <w:pPr>
      <w:spacing w:line="240" w:lineRule="auto"/>
    </w:pPr>
    <w:rPr>
      <w:sz w:val="20"/>
      <w:szCs w:val="20"/>
    </w:rPr>
  </w:style>
  <w:style w:type="character" w:customStyle="1" w:styleId="CommentTextChar">
    <w:name w:val="Comment Text Char"/>
    <w:basedOn w:val="DefaultParagraphFont"/>
    <w:link w:val="CommentText"/>
    <w:uiPriority w:val="99"/>
    <w:semiHidden/>
    <w:rsid w:val="00E054C1"/>
    <w:rPr>
      <w:rFonts w:eastAsiaTheme="minorEastAsia"/>
      <w:sz w:val="20"/>
      <w:szCs w:val="20"/>
    </w:rPr>
  </w:style>
  <w:style w:type="paragraph" w:styleId="BalloonText">
    <w:name w:val="Balloon Text"/>
    <w:basedOn w:val="Normal"/>
    <w:link w:val="BalloonTextChar"/>
    <w:uiPriority w:val="99"/>
    <w:semiHidden/>
    <w:unhideWhenUsed/>
    <w:rsid w:val="00E05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4C1"/>
    <w:rPr>
      <w:rFonts w:ascii="Tahoma" w:eastAsiaTheme="minorEastAsia" w:hAnsi="Tahoma" w:cs="Tahoma"/>
      <w:sz w:val="16"/>
      <w:szCs w:val="16"/>
    </w:rPr>
  </w:style>
  <w:style w:type="paragraph" w:styleId="CommentSubject">
    <w:name w:val="annotation subject"/>
    <w:basedOn w:val="CommentText"/>
    <w:next w:val="CommentText"/>
    <w:link w:val="CommentSubjectChar"/>
    <w:uiPriority w:val="99"/>
    <w:semiHidden/>
    <w:unhideWhenUsed/>
    <w:rsid w:val="00346084"/>
    <w:rPr>
      <w:b/>
      <w:bCs/>
    </w:rPr>
  </w:style>
  <w:style w:type="character" w:customStyle="1" w:styleId="CommentSubjectChar">
    <w:name w:val="Comment Subject Char"/>
    <w:basedOn w:val="CommentTextChar"/>
    <w:link w:val="CommentSubject"/>
    <w:uiPriority w:val="99"/>
    <w:semiHidden/>
    <w:rsid w:val="00346084"/>
    <w:rPr>
      <w:rFonts w:eastAsiaTheme="minorEastAsia"/>
      <w:b/>
      <w:bCs/>
      <w:sz w:val="20"/>
      <w:szCs w:val="20"/>
    </w:rPr>
  </w:style>
  <w:style w:type="character" w:styleId="Hyperlink">
    <w:name w:val="Hyperlink"/>
    <w:basedOn w:val="DefaultParagraphFont"/>
    <w:uiPriority w:val="99"/>
    <w:unhideWhenUsed/>
    <w:rsid w:val="006717BD"/>
    <w:rPr>
      <w:color w:val="0000FF" w:themeColor="hyperlink"/>
      <w:u w:val="single"/>
    </w:rPr>
  </w:style>
  <w:style w:type="character" w:customStyle="1" w:styleId="UnresolvedMention1">
    <w:name w:val="Unresolved Mention1"/>
    <w:basedOn w:val="DefaultParagraphFont"/>
    <w:uiPriority w:val="99"/>
    <w:semiHidden/>
    <w:unhideWhenUsed/>
    <w:rsid w:val="006D5D12"/>
    <w:rPr>
      <w:color w:val="605E5C"/>
      <w:shd w:val="clear" w:color="auto" w:fill="E1DFDD"/>
    </w:rPr>
  </w:style>
  <w:style w:type="paragraph" w:styleId="EndnoteText">
    <w:name w:val="endnote text"/>
    <w:basedOn w:val="Normal"/>
    <w:link w:val="EndnoteTextChar"/>
    <w:uiPriority w:val="99"/>
    <w:semiHidden/>
    <w:unhideWhenUsed/>
    <w:rsid w:val="002427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2700"/>
    <w:rPr>
      <w:rFonts w:eastAsiaTheme="minorEastAsia"/>
      <w:sz w:val="20"/>
      <w:szCs w:val="20"/>
    </w:rPr>
  </w:style>
  <w:style w:type="character" w:styleId="EndnoteReference">
    <w:name w:val="endnote reference"/>
    <w:basedOn w:val="DefaultParagraphFont"/>
    <w:uiPriority w:val="99"/>
    <w:semiHidden/>
    <w:unhideWhenUsed/>
    <w:rsid w:val="00242700"/>
    <w:rPr>
      <w:vertAlign w:val="superscript"/>
    </w:rPr>
  </w:style>
  <w:style w:type="character" w:styleId="PlaceholderText">
    <w:name w:val="Placeholder Text"/>
    <w:basedOn w:val="DefaultParagraphFont"/>
    <w:uiPriority w:val="99"/>
    <w:semiHidden/>
    <w:rsid w:val="003575E9"/>
    <w:rPr>
      <w:color w:val="808080"/>
    </w:rPr>
  </w:style>
  <w:style w:type="character" w:styleId="FollowedHyperlink">
    <w:name w:val="FollowedHyperlink"/>
    <w:basedOn w:val="DefaultParagraphFont"/>
    <w:uiPriority w:val="99"/>
    <w:semiHidden/>
    <w:unhideWhenUsed/>
    <w:rsid w:val="00650B0D"/>
    <w:rPr>
      <w:color w:val="800080" w:themeColor="followedHyperlink"/>
      <w:u w:val="single"/>
    </w:rPr>
  </w:style>
  <w:style w:type="paragraph" w:styleId="Header">
    <w:name w:val="header"/>
    <w:basedOn w:val="Normal"/>
    <w:link w:val="HeaderChar"/>
    <w:uiPriority w:val="99"/>
    <w:unhideWhenUsed/>
    <w:rsid w:val="00E61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DE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3599">
      <w:bodyDiv w:val="1"/>
      <w:marLeft w:val="0"/>
      <w:marRight w:val="0"/>
      <w:marTop w:val="0"/>
      <w:marBottom w:val="0"/>
      <w:divBdr>
        <w:top w:val="none" w:sz="0" w:space="0" w:color="auto"/>
        <w:left w:val="none" w:sz="0" w:space="0" w:color="auto"/>
        <w:bottom w:val="none" w:sz="0" w:space="0" w:color="auto"/>
        <w:right w:val="none" w:sz="0" w:space="0" w:color="auto"/>
      </w:divBdr>
    </w:div>
    <w:div w:id="82990859">
      <w:bodyDiv w:val="1"/>
      <w:marLeft w:val="0"/>
      <w:marRight w:val="0"/>
      <w:marTop w:val="0"/>
      <w:marBottom w:val="0"/>
      <w:divBdr>
        <w:top w:val="none" w:sz="0" w:space="0" w:color="auto"/>
        <w:left w:val="none" w:sz="0" w:space="0" w:color="auto"/>
        <w:bottom w:val="none" w:sz="0" w:space="0" w:color="auto"/>
        <w:right w:val="none" w:sz="0" w:space="0" w:color="auto"/>
      </w:divBdr>
    </w:div>
    <w:div w:id="266350715">
      <w:bodyDiv w:val="1"/>
      <w:marLeft w:val="0"/>
      <w:marRight w:val="0"/>
      <w:marTop w:val="0"/>
      <w:marBottom w:val="0"/>
      <w:divBdr>
        <w:top w:val="none" w:sz="0" w:space="0" w:color="auto"/>
        <w:left w:val="none" w:sz="0" w:space="0" w:color="auto"/>
        <w:bottom w:val="none" w:sz="0" w:space="0" w:color="auto"/>
        <w:right w:val="none" w:sz="0" w:space="0" w:color="auto"/>
      </w:divBdr>
    </w:div>
    <w:div w:id="277611264">
      <w:bodyDiv w:val="1"/>
      <w:marLeft w:val="0"/>
      <w:marRight w:val="0"/>
      <w:marTop w:val="0"/>
      <w:marBottom w:val="0"/>
      <w:divBdr>
        <w:top w:val="none" w:sz="0" w:space="0" w:color="auto"/>
        <w:left w:val="none" w:sz="0" w:space="0" w:color="auto"/>
        <w:bottom w:val="none" w:sz="0" w:space="0" w:color="auto"/>
        <w:right w:val="none" w:sz="0" w:space="0" w:color="auto"/>
      </w:divBdr>
    </w:div>
    <w:div w:id="1369379511">
      <w:bodyDiv w:val="1"/>
      <w:marLeft w:val="0"/>
      <w:marRight w:val="0"/>
      <w:marTop w:val="0"/>
      <w:marBottom w:val="0"/>
      <w:divBdr>
        <w:top w:val="none" w:sz="0" w:space="0" w:color="auto"/>
        <w:left w:val="none" w:sz="0" w:space="0" w:color="auto"/>
        <w:bottom w:val="none" w:sz="0" w:space="0" w:color="auto"/>
        <w:right w:val="none" w:sz="0" w:space="0" w:color="auto"/>
      </w:divBdr>
    </w:div>
    <w:div w:id="1592278595">
      <w:bodyDiv w:val="1"/>
      <w:marLeft w:val="0"/>
      <w:marRight w:val="0"/>
      <w:marTop w:val="0"/>
      <w:marBottom w:val="0"/>
      <w:divBdr>
        <w:top w:val="none" w:sz="0" w:space="0" w:color="auto"/>
        <w:left w:val="none" w:sz="0" w:space="0" w:color="auto"/>
        <w:bottom w:val="none" w:sz="0" w:space="0" w:color="auto"/>
        <w:right w:val="none" w:sz="0" w:space="0" w:color="auto"/>
      </w:divBdr>
    </w:div>
    <w:div w:id="1633364779">
      <w:bodyDiv w:val="1"/>
      <w:marLeft w:val="0"/>
      <w:marRight w:val="0"/>
      <w:marTop w:val="0"/>
      <w:marBottom w:val="0"/>
      <w:divBdr>
        <w:top w:val="none" w:sz="0" w:space="0" w:color="auto"/>
        <w:left w:val="none" w:sz="0" w:space="0" w:color="auto"/>
        <w:bottom w:val="none" w:sz="0" w:space="0" w:color="auto"/>
        <w:right w:val="none" w:sz="0" w:space="0" w:color="auto"/>
      </w:divBdr>
    </w:div>
    <w:div w:id="1775324152">
      <w:bodyDiv w:val="1"/>
      <w:marLeft w:val="0"/>
      <w:marRight w:val="0"/>
      <w:marTop w:val="0"/>
      <w:marBottom w:val="0"/>
      <w:divBdr>
        <w:top w:val="none" w:sz="0" w:space="0" w:color="auto"/>
        <w:left w:val="none" w:sz="0" w:space="0" w:color="auto"/>
        <w:bottom w:val="none" w:sz="0" w:space="0" w:color="auto"/>
        <w:right w:val="none" w:sz="0" w:space="0" w:color="auto"/>
      </w:divBdr>
    </w:div>
    <w:div w:id="1848011179">
      <w:bodyDiv w:val="1"/>
      <w:marLeft w:val="0"/>
      <w:marRight w:val="0"/>
      <w:marTop w:val="0"/>
      <w:marBottom w:val="0"/>
      <w:divBdr>
        <w:top w:val="none" w:sz="0" w:space="0" w:color="auto"/>
        <w:left w:val="none" w:sz="0" w:space="0" w:color="auto"/>
        <w:bottom w:val="none" w:sz="0" w:space="0" w:color="auto"/>
        <w:right w:val="none" w:sz="0" w:space="0" w:color="auto"/>
      </w:divBdr>
    </w:div>
    <w:div w:id="186778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goebel@bsu.edu" TargetMode="External"/><Relationship Id="rId13" Type="http://schemas.openxmlformats.org/officeDocument/2006/relationships/chart" Target="charts/chart2.xml"/><Relationship Id="rId18" Type="http://schemas.openxmlformats.org/officeDocument/2006/relationships/image" Target="media/image1.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2.emf"/><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journal/0022-3808_Journal_of_Political_Economy"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package" Target="embeddings/Microsoft_Excel_Worksheet2.xlsx"/><Relationship Id="rId28"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package" Target="embeddings/Microsoft_Excel_Worksheet.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jkemper@bsu.edu" TargetMode="External"/><Relationship Id="rId14" Type="http://schemas.openxmlformats.org/officeDocument/2006/relationships/chart" Target="charts/chart3.xml"/><Relationship Id="rId22" Type="http://schemas.openxmlformats.org/officeDocument/2006/relationships/image" Target="media/image3.emf"/><Relationship Id="rId27" Type="http://schemas.openxmlformats.org/officeDocument/2006/relationships/package" Target="embeddings/Microsoft_Excel_Worksheet4.xlsx"/><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pratings.com/documents/20184/774196/CreditWatchPlacementsAndOutlooksContinueToForeshadowRatingsBehavior_Dec-13-2016.pdf/1190387e-7aa9-4523-a9c4-c0713f43ba56" TargetMode="External"/><Relationship Id="rId1" Type="http://schemas.openxmlformats.org/officeDocument/2006/relationships/hyperlink" Target="http://img.en25.com/Web/StandardandPoors/SP_CreditRatingsGuid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jkemper\AppData\Local\Microsoft\Windows\INetCache\Content.Outlook\GMDXZXBO\Kisgen%20Challenge-fin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1</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LongTerm-Debt-to-Total Assets (LTD/TA) Ratios for Firms with Upgrades by</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Without Prior Credit Watch Placements</a:t>
            </a:r>
            <a:endParaRPr lang="en-US" sz="1200">
              <a:effectLst/>
            </a:endParaRPr>
          </a:p>
        </c:rich>
      </c:tx>
      <c:layout>
        <c:manualLayout>
          <c:xMode val="edge"/>
          <c:yMode val="edge"/>
          <c:x val="0.14091346153846157"/>
          <c:y val="1.1754827616687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LTDTA!$E$51</c:f>
              <c:strCache>
                <c:ptCount val="1"/>
                <c:pt idx="0">
                  <c:v>AA</c:v>
                </c:pt>
              </c:strCache>
            </c:strRef>
          </c:tx>
          <c:spPr>
            <a:ln w="28575" cap="rnd">
              <a:solidFill>
                <a:srgbClr val="C0000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LTDTA!$E$52:$E$68</c:f>
              <c:numCache>
                <c:formatCode>General</c:formatCode>
                <c:ptCount val="17"/>
                <c:pt idx="0">
                  <c:v>0.14050000000000001</c:v>
                </c:pt>
                <c:pt idx="1">
                  <c:v>0.1384</c:v>
                </c:pt>
                <c:pt idx="2">
                  <c:v>0.13730000000000001</c:v>
                </c:pt>
                <c:pt idx="3">
                  <c:v>0.14330000000000001</c:v>
                </c:pt>
                <c:pt idx="4">
                  <c:v>0.13689999999999999</c:v>
                </c:pt>
                <c:pt idx="5">
                  <c:v>0.13450000000000001</c:v>
                </c:pt>
                <c:pt idx="6">
                  <c:v>0.13370000000000001</c:v>
                </c:pt>
                <c:pt idx="7">
                  <c:v>0.13270000000000001</c:v>
                </c:pt>
                <c:pt idx="8">
                  <c:v>0.13320000000000001</c:v>
                </c:pt>
                <c:pt idx="9">
                  <c:v>0.13830000000000001</c:v>
                </c:pt>
                <c:pt idx="10">
                  <c:v>0.14749999999999999</c:v>
                </c:pt>
                <c:pt idx="11">
                  <c:v>0.1489</c:v>
                </c:pt>
                <c:pt idx="12">
                  <c:v>0.15359999999999999</c:v>
                </c:pt>
                <c:pt idx="13">
                  <c:v>0.15409999999999999</c:v>
                </c:pt>
                <c:pt idx="14">
                  <c:v>0.15509999999999999</c:v>
                </c:pt>
                <c:pt idx="15">
                  <c:v>0.15690000000000001</c:v>
                </c:pt>
                <c:pt idx="16">
                  <c:v>0.15559999999999999</c:v>
                </c:pt>
              </c:numCache>
            </c:numRef>
          </c:val>
          <c:smooth val="0"/>
          <c:extLst>
            <c:ext xmlns:c16="http://schemas.microsoft.com/office/drawing/2014/chart" uri="{C3380CC4-5D6E-409C-BE32-E72D297353CC}">
              <c16:uniqueId val="{00000000-778D-424F-B4FB-FA1EF508722F}"/>
            </c:ext>
          </c:extLst>
        </c:ser>
        <c:ser>
          <c:idx val="3"/>
          <c:order val="1"/>
          <c:tx>
            <c:strRef>
              <c:f>LTDTA!$F$51</c:f>
              <c:strCache>
                <c:ptCount val="1"/>
                <c:pt idx="0">
                  <c:v>AA-</c:v>
                </c:pt>
              </c:strCache>
            </c:strRef>
          </c:tx>
          <c:spPr>
            <a:ln w="28575" cap="rnd">
              <a:solidFill>
                <a:srgbClr val="C00000"/>
              </a:solidFill>
              <a:prstDash val="sys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LTDTA!$F$52:$F$68</c:f>
              <c:numCache>
                <c:formatCode>General</c:formatCode>
                <c:ptCount val="17"/>
                <c:pt idx="0">
                  <c:v>0.15679999999999999</c:v>
                </c:pt>
                <c:pt idx="1">
                  <c:v>0.15310000000000001</c:v>
                </c:pt>
                <c:pt idx="2">
                  <c:v>0.153</c:v>
                </c:pt>
                <c:pt idx="3">
                  <c:v>0.14979999999999999</c:v>
                </c:pt>
                <c:pt idx="4">
                  <c:v>0.15010000000000001</c:v>
                </c:pt>
                <c:pt idx="5">
                  <c:v>0.1361</c:v>
                </c:pt>
                <c:pt idx="6">
                  <c:v>0.14410000000000001</c:v>
                </c:pt>
                <c:pt idx="7">
                  <c:v>0.1391</c:v>
                </c:pt>
                <c:pt idx="8">
                  <c:v>0.1484</c:v>
                </c:pt>
                <c:pt idx="9">
                  <c:v>0.13730000000000001</c:v>
                </c:pt>
                <c:pt idx="10">
                  <c:v>0.14119999999999999</c:v>
                </c:pt>
                <c:pt idx="11">
                  <c:v>0.1421</c:v>
                </c:pt>
                <c:pt idx="12">
                  <c:v>0.14729999999999999</c:v>
                </c:pt>
                <c:pt idx="13">
                  <c:v>0.14580000000000001</c:v>
                </c:pt>
                <c:pt idx="14">
                  <c:v>0.1522</c:v>
                </c:pt>
                <c:pt idx="15">
                  <c:v>0.15509999999999999</c:v>
                </c:pt>
                <c:pt idx="16">
                  <c:v>0.16020000000000001</c:v>
                </c:pt>
              </c:numCache>
            </c:numRef>
          </c:val>
          <c:smooth val="0"/>
          <c:extLst>
            <c:ext xmlns:c16="http://schemas.microsoft.com/office/drawing/2014/chart" uri="{C3380CC4-5D6E-409C-BE32-E72D297353CC}">
              <c16:uniqueId val="{00000001-778D-424F-B4FB-FA1EF508722F}"/>
            </c:ext>
          </c:extLst>
        </c:ser>
        <c:ser>
          <c:idx val="4"/>
          <c:order val="2"/>
          <c:tx>
            <c:strRef>
              <c:f>LTDTA!$G$51</c:f>
              <c:strCache>
                <c:ptCount val="1"/>
                <c:pt idx="0">
                  <c:v>A+</c:v>
                </c:pt>
              </c:strCache>
            </c:strRef>
          </c:tx>
          <c:spPr>
            <a:ln w="28575" cap="rnd">
              <a:solidFill>
                <a:srgbClr val="7030A0"/>
              </a:solidFill>
              <a:prstDash val="sysDot"/>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LTDTA!$G$52:$G$68</c:f>
              <c:numCache>
                <c:formatCode>General</c:formatCode>
                <c:ptCount val="17"/>
                <c:pt idx="0">
                  <c:v>0.17680000000000001</c:v>
                </c:pt>
                <c:pt idx="1">
                  <c:v>0.18509999999999999</c:v>
                </c:pt>
                <c:pt idx="2">
                  <c:v>0.17699999999999999</c:v>
                </c:pt>
                <c:pt idx="3">
                  <c:v>0.18279999999999999</c:v>
                </c:pt>
                <c:pt idx="4">
                  <c:v>0.1779</c:v>
                </c:pt>
                <c:pt idx="5">
                  <c:v>0.18229999999999999</c:v>
                </c:pt>
                <c:pt idx="6">
                  <c:v>0.17799999999999999</c:v>
                </c:pt>
                <c:pt idx="7">
                  <c:v>0.1804</c:v>
                </c:pt>
                <c:pt idx="8">
                  <c:v>0.18440000000000001</c:v>
                </c:pt>
                <c:pt idx="9">
                  <c:v>0.184</c:v>
                </c:pt>
                <c:pt idx="10">
                  <c:v>0.17979999999999999</c:v>
                </c:pt>
                <c:pt idx="11">
                  <c:v>0.1804</c:v>
                </c:pt>
                <c:pt idx="12">
                  <c:v>0.1862</c:v>
                </c:pt>
                <c:pt idx="13">
                  <c:v>0.18920000000000001</c:v>
                </c:pt>
                <c:pt idx="14">
                  <c:v>0.18909999999999999</c:v>
                </c:pt>
                <c:pt idx="15">
                  <c:v>0.18379999999999999</c:v>
                </c:pt>
                <c:pt idx="16">
                  <c:v>0.19009999999999999</c:v>
                </c:pt>
              </c:numCache>
            </c:numRef>
          </c:val>
          <c:smooth val="0"/>
          <c:extLst>
            <c:ext xmlns:c16="http://schemas.microsoft.com/office/drawing/2014/chart" uri="{C3380CC4-5D6E-409C-BE32-E72D297353CC}">
              <c16:uniqueId val="{00000002-778D-424F-B4FB-FA1EF508722F}"/>
            </c:ext>
          </c:extLst>
        </c:ser>
        <c:ser>
          <c:idx val="5"/>
          <c:order val="3"/>
          <c:tx>
            <c:strRef>
              <c:f>LTDTA!$H$51</c:f>
              <c:strCache>
                <c:ptCount val="1"/>
                <c:pt idx="0">
                  <c:v>A</c:v>
                </c:pt>
              </c:strCache>
            </c:strRef>
          </c:tx>
          <c:spPr>
            <a:ln w="28575" cap="rnd">
              <a:solidFill>
                <a:srgbClr val="7030A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LTDTA!$H$52:$H$68</c:f>
              <c:numCache>
                <c:formatCode>General</c:formatCode>
                <c:ptCount val="17"/>
                <c:pt idx="0">
                  <c:v>0.19339999999999999</c:v>
                </c:pt>
                <c:pt idx="1">
                  <c:v>0.19189999999999999</c:v>
                </c:pt>
                <c:pt idx="2">
                  <c:v>0.19120000000000001</c:v>
                </c:pt>
                <c:pt idx="3">
                  <c:v>0.19</c:v>
                </c:pt>
                <c:pt idx="4">
                  <c:v>0.1855</c:v>
                </c:pt>
                <c:pt idx="5">
                  <c:v>0.18709999999999999</c:v>
                </c:pt>
                <c:pt idx="6">
                  <c:v>0.18720000000000001</c:v>
                </c:pt>
                <c:pt idx="7">
                  <c:v>0.1845</c:v>
                </c:pt>
                <c:pt idx="8">
                  <c:v>0.18629999999999999</c:v>
                </c:pt>
                <c:pt idx="9">
                  <c:v>0.1842</c:v>
                </c:pt>
                <c:pt idx="10">
                  <c:v>0.18690000000000001</c:v>
                </c:pt>
                <c:pt idx="11">
                  <c:v>0.188</c:v>
                </c:pt>
                <c:pt idx="12">
                  <c:v>0.19600000000000001</c:v>
                </c:pt>
                <c:pt idx="13">
                  <c:v>0.19520000000000001</c:v>
                </c:pt>
                <c:pt idx="14">
                  <c:v>0.1948</c:v>
                </c:pt>
                <c:pt idx="15">
                  <c:v>0.1933</c:v>
                </c:pt>
                <c:pt idx="16">
                  <c:v>0.19370000000000001</c:v>
                </c:pt>
              </c:numCache>
            </c:numRef>
          </c:val>
          <c:smooth val="0"/>
          <c:extLst>
            <c:ext xmlns:c16="http://schemas.microsoft.com/office/drawing/2014/chart" uri="{C3380CC4-5D6E-409C-BE32-E72D297353CC}">
              <c16:uniqueId val="{00000003-778D-424F-B4FB-FA1EF508722F}"/>
            </c:ext>
          </c:extLst>
        </c:ser>
        <c:ser>
          <c:idx val="6"/>
          <c:order val="4"/>
          <c:tx>
            <c:strRef>
              <c:f>LTDTA!$I$51</c:f>
              <c:strCache>
                <c:ptCount val="1"/>
                <c:pt idx="0">
                  <c:v>A-</c:v>
                </c:pt>
              </c:strCache>
            </c:strRef>
          </c:tx>
          <c:spPr>
            <a:ln w="28575" cap="rnd">
              <a:solidFill>
                <a:srgbClr val="7030A0"/>
              </a:solidFill>
              <a:prstDash val="sys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LTDTA!$I$52:$I$68</c:f>
              <c:numCache>
                <c:formatCode>General</c:formatCode>
                <c:ptCount val="17"/>
                <c:pt idx="0">
                  <c:v>0.20760000000000001</c:v>
                </c:pt>
                <c:pt idx="1">
                  <c:v>0.20910000000000001</c:v>
                </c:pt>
                <c:pt idx="2">
                  <c:v>0.20610000000000001</c:v>
                </c:pt>
                <c:pt idx="3">
                  <c:v>0.21</c:v>
                </c:pt>
                <c:pt idx="4">
                  <c:v>0.2084</c:v>
                </c:pt>
                <c:pt idx="5">
                  <c:v>0.20230000000000001</c:v>
                </c:pt>
                <c:pt idx="6">
                  <c:v>0.1961</c:v>
                </c:pt>
                <c:pt idx="7">
                  <c:v>0.19570000000000001</c:v>
                </c:pt>
                <c:pt idx="8">
                  <c:v>0.1946</c:v>
                </c:pt>
                <c:pt idx="9">
                  <c:v>0.193</c:v>
                </c:pt>
                <c:pt idx="10">
                  <c:v>0.1925</c:v>
                </c:pt>
                <c:pt idx="11">
                  <c:v>0.19570000000000001</c:v>
                </c:pt>
                <c:pt idx="12">
                  <c:v>0.2034</c:v>
                </c:pt>
                <c:pt idx="13">
                  <c:v>0.2031</c:v>
                </c:pt>
                <c:pt idx="14">
                  <c:v>0.2024</c:v>
                </c:pt>
                <c:pt idx="15">
                  <c:v>0.2072</c:v>
                </c:pt>
                <c:pt idx="16">
                  <c:v>0.21060000000000001</c:v>
                </c:pt>
              </c:numCache>
            </c:numRef>
          </c:val>
          <c:smooth val="0"/>
          <c:extLst>
            <c:ext xmlns:c16="http://schemas.microsoft.com/office/drawing/2014/chart" uri="{C3380CC4-5D6E-409C-BE32-E72D297353CC}">
              <c16:uniqueId val="{00000004-778D-424F-B4FB-FA1EF508722F}"/>
            </c:ext>
          </c:extLst>
        </c:ser>
        <c:ser>
          <c:idx val="7"/>
          <c:order val="5"/>
          <c:tx>
            <c:strRef>
              <c:f>LTDTA!$J$51</c:f>
              <c:strCache>
                <c:ptCount val="1"/>
                <c:pt idx="0">
                  <c:v>BBB+</c:v>
                </c:pt>
              </c:strCache>
            </c:strRef>
          </c:tx>
          <c:spPr>
            <a:ln w="28575" cap="rnd">
              <a:solidFill>
                <a:srgbClr val="FFC000"/>
              </a:solidFill>
              <a:prstDash val="sysDot"/>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LTDTA!$J$52:$J$68</c:f>
              <c:numCache>
                <c:formatCode>General</c:formatCode>
                <c:ptCount val="17"/>
                <c:pt idx="0">
                  <c:v>0.22589999999999999</c:v>
                </c:pt>
                <c:pt idx="1">
                  <c:v>0.22370000000000001</c:v>
                </c:pt>
                <c:pt idx="2">
                  <c:v>0.22270000000000001</c:v>
                </c:pt>
                <c:pt idx="3">
                  <c:v>0.22009999999999999</c:v>
                </c:pt>
                <c:pt idx="4">
                  <c:v>0.22140000000000001</c:v>
                </c:pt>
                <c:pt idx="5">
                  <c:v>0.22020000000000001</c:v>
                </c:pt>
                <c:pt idx="6">
                  <c:v>0.2162</c:v>
                </c:pt>
                <c:pt idx="7">
                  <c:v>0.2132</c:v>
                </c:pt>
                <c:pt idx="8">
                  <c:v>0.2117</c:v>
                </c:pt>
                <c:pt idx="9">
                  <c:v>0.21210000000000001</c:v>
                </c:pt>
                <c:pt idx="10">
                  <c:v>0.21110000000000001</c:v>
                </c:pt>
                <c:pt idx="11">
                  <c:v>0.21060000000000001</c:v>
                </c:pt>
                <c:pt idx="12">
                  <c:v>0.2177</c:v>
                </c:pt>
                <c:pt idx="13">
                  <c:v>0.222</c:v>
                </c:pt>
                <c:pt idx="14">
                  <c:v>0.2238</c:v>
                </c:pt>
                <c:pt idx="15">
                  <c:v>0.2303</c:v>
                </c:pt>
                <c:pt idx="16">
                  <c:v>0.22939999999999999</c:v>
                </c:pt>
              </c:numCache>
            </c:numRef>
          </c:val>
          <c:smooth val="0"/>
          <c:extLst>
            <c:ext xmlns:c16="http://schemas.microsoft.com/office/drawing/2014/chart" uri="{C3380CC4-5D6E-409C-BE32-E72D297353CC}">
              <c16:uniqueId val="{00000005-778D-424F-B4FB-FA1EF508722F}"/>
            </c:ext>
          </c:extLst>
        </c:ser>
        <c:ser>
          <c:idx val="8"/>
          <c:order val="6"/>
          <c:tx>
            <c:strRef>
              <c:f>LTDTA!$K$51</c:f>
              <c:strCache>
                <c:ptCount val="1"/>
                <c:pt idx="0">
                  <c:v>BBB</c:v>
                </c:pt>
              </c:strCache>
            </c:strRef>
          </c:tx>
          <c:spPr>
            <a:ln w="28575" cap="rnd">
              <a:solidFill>
                <a:srgbClr val="FFC00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LTDTA!$K$52:$K$68</c:f>
              <c:numCache>
                <c:formatCode>General</c:formatCode>
                <c:ptCount val="17"/>
                <c:pt idx="0">
                  <c:v>0.25319999999999998</c:v>
                </c:pt>
                <c:pt idx="1">
                  <c:v>0.25130000000000002</c:v>
                </c:pt>
                <c:pt idx="2">
                  <c:v>0.24929999999999999</c:v>
                </c:pt>
                <c:pt idx="3">
                  <c:v>0.24540000000000001</c:v>
                </c:pt>
                <c:pt idx="4">
                  <c:v>0.24579999999999999</c:v>
                </c:pt>
                <c:pt idx="5">
                  <c:v>0.24129999999999999</c:v>
                </c:pt>
                <c:pt idx="6">
                  <c:v>0.23630000000000001</c:v>
                </c:pt>
                <c:pt idx="7">
                  <c:v>0.23319999999999999</c:v>
                </c:pt>
                <c:pt idx="8">
                  <c:v>0.23530000000000001</c:v>
                </c:pt>
                <c:pt idx="9">
                  <c:v>0.2354</c:v>
                </c:pt>
                <c:pt idx="10">
                  <c:v>0.2361</c:v>
                </c:pt>
                <c:pt idx="11">
                  <c:v>0.23710000000000001</c:v>
                </c:pt>
                <c:pt idx="12">
                  <c:v>0.2404</c:v>
                </c:pt>
                <c:pt idx="13">
                  <c:v>0.2397</c:v>
                </c:pt>
                <c:pt idx="14">
                  <c:v>0.24390000000000001</c:v>
                </c:pt>
                <c:pt idx="15">
                  <c:v>0.24690000000000001</c:v>
                </c:pt>
                <c:pt idx="16">
                  <c:v>0.25140000000000001</c:v>
                </c:pt>
              </c:numCache>
            </c:numRef>
          </c:val>
          <c:smooth val="0"/>
          <c:extLst>
            <c:ext xmlns:c16="http://schemas.microsoft.com/office/drawing/2014/chart" uri="{C3380CC4-5D6E-409C-BE32-E72D297353CC}">
              <c16:uniqueId val="{00000006-778D-424F-B4FB-FA1EF508722F}"/>
            </c:ext>
          </c:extLst>
        </c:ser>
        <c:ser>
          <c:idx val="9"/>
          <c:order val="7"/>
          <c:tx>
            <c:strRef>
              <c:f>LTDTA!$L$51</c:f>
              <c:strCache>
                <c:ptCount val="1"/>
                <c:pt idx="0">
                  <c:v>BBB-</c:v>
                </c:pt>
              </c:strCache>
            </c:strRef>
          </c:tx>
          <c:spPr>
            <a:ln w="28575" cap="rnd">
              <a:solidFill>
                <a:srgbClr val="FFC000"/>
              </a:solidFill>
              <a:prstDash val="sys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LTDTA!$L$52:$L$68</c:f>
              <c:numCache>
                <c:formatCode>General</c:formatCode>
                <c:ptCount val="17"/>
                <c:pt idx="0">
                  <c:v>0.27900000000000003</c:v>
                </c:pt>
                <c:pt idx="1">
                  <c:v>0.27689999999999998</c:v>
                </c:pt>
                <c:pt idx="2">
                  <c:v>0.27350000000000002</c:v>
                </c:pt>
                <c:pt idx="3">
                  <c:v>0.26840000000000003</c:v>
                </c:pt>
                <c:pt idx="4">
                  <c:v>0.26650000000000001</c:v>
                </c:pt>
                <c:pt idx="5">
                  <c:v>0.26429999999999998</c:v>
                </c:pt>
                <c:pt idx="6">
                  <c:v>0.2591</c:v>
                </c:pt>
                <c:pt idx="7">
                  <c:v>0.25790000000000002</c:v>
                </c:pt>
                <c:pt idx="8">
                  <c:v>0.2571</c:v>
                </c:pt>
                <c:pt idx="9">
                  <c:v>0.25950000000000001</c:v>
                </c:pt>
                <c:pt idx="10">
                  <c:v>0.26079999999999998</c:v>
                </c:pt>
                <c:pt idx="11">
                  <c:v>0.26029999999999998</c:v>
                </c:pt>
                <c:pt idx="12">
                  <c:v>0.2591</c:v>
                </c:pt>
                <c:pt idx="13">
                  <c:v>0.26229999999999998</c:v>
                </c:pt>
                <c:pt idx="14">
                  <c:v>0.2671</c:v>
                </c:pt>
                <c:pt idx="15">
                  <c:v>0.26729999999999998</c:v>
                </c:pt>
                <c:pt idx="16">
                  <c:v>0.27239999999999998</c:v>
                </c:pt>
              </c:numCache>
            </c:numRef>
          </c:val>
          <c:smooth val="0"/>
          <c:extLst>
            <c:ext xmlns:c16="http://schemas.microsoft.com/office/drawing/2014/chart" uri="{C3380CC4-5D6E-409C-BE32-E72D297353CC}">
              <c16:uniqueId val="{00000007-778D-424F-B4FB-FA1EF508722F}"/>
            </c:ext>
          </c:extLst>
        </c:ser>
        <c:ser>
          <c:idx val="10"/>
          <c:order val="8"/>
          <c:tx>
            <c:strRef>
              <c:f>LTDTA!$M$51</c:f>
              <c:strCache>
                <c:ptCount val="1"/>
                <c:pt idx="0">
                  <c:v>BB+</c:v>
                </c:pt>
              </c:strCache>
            </c:strRef>
          </c:tx>
          <c:spPr>
            <a:ln w="28575" cap="rnd">
              <a:solidFill>
                <a:srgbClr val="002060"/>
              </a:solidFill>
              <a:prstDash val="sysDot"/>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LTDTA!$M$52:$M$68</c:f>
              <c:numCache>
                <c:formatCode>General</c:formatCode>
                <c:ptCount val="17"/>
                <c:pt idx="0">
                  <c:v>0.3009</c:v>
                </c:pt>
                <c:pt idx="1">
                  <c:v>0.29749999999999999</c:v>
                </c:pt>
                <c:pt idx="2">
                  <c:v>0.2918</c:v>
                </c:pt>
                <c:pt idx="3">
                  <c:v>0.29349999999999998</c:v>
                </c:pt>
                <c:pt idx="4">
                  <c:v>0.28860000000000002</c:v>
                </c:pt>
                <c:pt idx="5">
                  <c:v>0.28010000000000002</c:v>
                </c:pt>
                <c:pt idx="6">
                  <c:v>0.27239999999999998</c:v>
                </c:pt>
                <c:pt idx="7">
                  <c:v>0.26790000000000003</c:v>
                </c:pt>
                <c:pt idx="8">
                  <c:v>0.26069999999999999</c:v>
                </c:pt>
                <c:pt idx="9">
                  <c:v>0.25979999999999998</c:v>
                </c:pt>
                <c:pt idx="10">
                  <c:v>0.2571</c:v>
                </c:pt>
                <c:pt idx="11">
                  <c:v>0.25829999999999997</c:v>
                </c:pt>
                <c:pt idx="12">
                  <c:v>0.26029999999999998</c:v>
                </c:pt>
                <c:pt idx="13">
                  <c:v>0.2591</c:v>
                </c:pt>
                <c:pt idx="14">
                  <c:v>0.25779999999999997</c:v>
                </c:pt>
                <c:pt idx="15">
                  <c:v>0.2606</c:v>
                </c:pt>
                <c:pt idx="16">
                  <c:v>0.2671</c:v>
                </c:pt>
              </c:numCache>
            </c:numRef>
          </c:val>
          <c:smooth val="0"/>
          <c:extLst>
            <c:ext xmlns:c16="http://schemas.microsoft.com/office/drawing/2014/chart" uri="{C3380CC4-5D6E-409C-BE32-E72D297353CC}">
              <c16:uniqueId val="{00000008-778D-424F-B4FB-FA1EF508722F}"/>
            </c:ext>
          </c:extLst>
        </c:ser>
        <c:ser>
          <c:idx val="11"/>
          <c:order val="9"/>
          <c:tx>
            <c:strRef>
              <c:f>LTDTA!$N$51</c:f>
              <c:strCache>
                <c:ptCount val="1"/>
                <c:pt idx="0">
                  <c:v>BB</c:v>
                </c:pt>
              </c:strCache>
            </c:strRef>
          </c:tx>
          <c:spPr>
            <a:ln w="28575" cap="rnd">
              <a:solidFill>
                <a:srgbClr val="00206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LTDTA!$N$52:$N$68</c:f>
              <c:numCache>
                <c:formatCode>General</c:formatCode>
                <c:ptCount val="17"/>
                <c:pt idx="0">
                  <c:v>0.3216</c:v>
                </c:pt>
                <c:pt idx="1">
                  <c:v>0.31890000000000002</c:v>
                </c:pt>
                <c:pt idx="2">
                  <c:v>0.31090000000000001</c:v>
                </c:pt>
                <c:pt idx="3">
                  <c:v>0.3105</c:v>
                </c:pt>
                <c:pt idx="4">
                  <c:v>0.30530000000000002</c:v>
                </c:pt>
                <c:pt idx="5">
                  <c:v>0.3004</c:v>
                </c:pt>
                <c:pt idx="6">
                  <c:v>0.29149999999999998</c:v>
                </c:pt>
                <c:pt idx="7">
                  <c:v>0.2878</c:v>
                </c:pt>
                <c:pt idx="8">
                  <c:v>0.28360000000000002</c:v>
                </c:pt>
                <c:pt idx="9">
                  <c:v>0.27889999999999998</c:v>
                </c:pt>
                <c:pt idx="10">
                  <c:v>0.27829999999999999</c:v>
                </c:pt>
                <c:pt idx="11">
                  <c:v>0.27929999999999999</c:v>
                </c:pt>
                <c:pt idx="12">
                  <c:v>0.27889999999999998</c:v>
                </c:pt>
                <c:pt idx="13">
                  <c:v>0.28050000000000003</c:v>
                </c:pt>
                <c:pt idx="14">
                  <c:v>0.28149999999999997</c:v>
                </c:pt>
                <c:pt idx="15">
                  <c:v>0.2792</c:v>
                </c:pt>
                <c:pt idx="16">
                  <c:v>0.28499999999999998</c:v>
                </c:pt>
              </c:numCache>
            </c:numRef>
          </c:val>
          <c:smooth val="0"/>
          <c:extLst>
            <c:ext xmlns:c16="http://schemas.microsoft.com/office/drawing/2014/chart" uri="{C3380CC4-5D6E-409C-BE32-E72D297353CC}">
              <c16:uniqueId val="{00000009-778D-424F-B4FB-FA1EF508722F}"/>
            </c:ext>
          </c:extLst>
        </c:ser>
        <c:ser>
          <c:idx val="12"/>
          <c:order val="10"/>
          <c:tx>
            <c:strRef>
              <c:f>LTDTA!$O$51</c:f>
              <c:strCache>
                <c:ptCount val="1"/>
                <c:pt idx="0">
                  <c:v>BB-</c:v>
                </c:pt>
              </c:strCache>
            </c:strRef>
          </c:tx>
          <c:spPr>
            <a:ln w="28575" cap="rnd">
              <a:solidFill>
                <a:srgbClr val="002060"/>
              </a:solidFill>
              <a:prstDash val="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LTDTA!$O$52:$O$68</c:f>
              <c:numCache>
                <c:formatCode>General</c:formatCode>
                <c:ptCount val="17"/>
                <c:pt idx="0">
                  <c:v>0.3705</c:v>
                </c:pt>
                <c:pt idx="1">
                  <c:v>0.36520000000000002</c:v>
                </c:pt>
                <c:pt idx="2">
                  <c:v>0.35659999999999997</c:v>
                </c:pt>
                <c:pt idx="3">
                  <c:v>0.35049999999999998</c:v>
                </c:pt>
                <c:pt idx="4">
                  <c:v>0.34510000000000002</c:v>
                </c:pt>
                <c:pt idx="5">
                  <c:v>0.3422</c:v>
                </c:pt>
                <c:pt idx="6">
                  <c:v>0.3291</c:v>
                </c:pt>
                <c:pt idx="7">
                  <c:v>0.32219999999999999</c:v>
                </c:pt>
                <c:pt idx="8">
                  <c:v>0.31559999999999999</c:v>
                </c:pt>
                <c:pt idx="9">
                  <c:v>0.31140000000000001</c:v>
                </c:pt>
                <c:pt idx="10">
                  <c:v>0.30969999999999998</c:v>
                </c:pt>
                <c:pt idx="11">
                  <c:v>0.30680000000000002</c:v>
                </c:pt>
                <c:pt idx="12">
                  <c:v>0.30740000000000001</c:v>
                </c:pt>
                <c:pt idx="13">
                  <c:v>0.30769999999999997</c:v>
                </c:pt>
                <c:pt idx="14">
                  <c:v>0.30580000000000002</c:v>
                </c:pt>
                <c:pt idx="15">
                  <c:v>0.30640000000000001</c:v>
                </c:pt>
                <c:pt idx="16">
                  <c:v>0.30719999999999997</c:v>
                </c:pt>
              </c:numCache>
            </c:numRef>
          </c:val>
          <c:smooth val="0"/>
          <c:extLst>
            <c:ext xmlns:c16="http://schemas.microsoft.com/office/drawing/2014/chart" uri="{C3380CC4-5D6E-409C-BE32-E72D297353CC}">
              <c16:uniqueId val="{0000000A-778D-424F-B4FB-FA1EF508722F}"/>
            </c:ext>
          </c:extLst>
        </c:ser>
        <c:ser>
          <c:idx val="13"/>
          <c:order val="11"/>
          <c:tx>
            <c:strRef>
              <c:f>LTDTA!$P$51</c:f>
              <c:strCache>
                <c:ptCount val="1"/>
                <c:pt idx="0">
                  <c:v>B+</c:v>
                </c:pt>
              </c:strCache>
            </c:strRef>
          </c:tx>
          <c:spPr>
            <a:ln w="28575" cap="rnd">
              <a:solidFill>
                <a:srgbClr val="92D050"/>
              </a:solidFill>
              <a:prstDash val="sysDot"/>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LTDTA!$P$52:$P$68</c:f>
              <c:numCache>
                <c:formatCode>General</c:formatCode>
                <c:ptCount val="17"/>
                <c:pt idx="0">
                  <c:v>0.40510000000000002</c:v>
                </c:pt>
                <c:pt idx="1">
                  <c:v>0.4093</c:v>
                </c:pt>
                <c:pt idx="2">
                  <c:v>0.41199999999999998</c:v>
                </c:pt>
                <c:pt idx="3">
                  <c:v>0.41049999999999998</c:v>
                </c:pt>
                <c:pt idx="4">
                  <c:v>0.40360000000000001</c:v>
                </c:pt>
                <c:pt idx="5">
                  <c:v>0.3977</c:v>
                </c:pt>
                <c:pt idx="6">
                  <c:v>0.3881</c:v>
                </c:pt>
                <c:pt idx="7">
                  <c:v>0.37619999999999998</c:v>
                </c:pt>
                <c:pt idx="8">
                  <c:v>0.36670000000000003</c:v>
                </c:pt>
                <c:pt idx="9">
                  <c:v>0.36609999999999998</c:v>
                </c:pt>
                <c:pt idx="10">
                  <c:v>0.36030000000000001</c:v>
                </c:pt>
                <c:pt idx="11">
                  <c:v>0.3589</c:v>
                </c:pt>
                <c:pt idx="12">
                  <c:v>0.35220000000000001</c:v>
                </c:pt>
                <c:pt idx="13">
                  <c:v>0.34889999999999999</c:v>
                </c:pt>
                <c:pt idx="14">
                  <c:v>0.34839999999999999</c:v>
                </c:pt>
                <c:pt idx="15">
                  <c:v>0.34449999999999997</c:v>
                </c:pt>
                <c:pt idx="16">
                  <c:v>0.3453</c:v>
                </c:pt>
              </c:numCache>
            </c:numRef>
          </c:val>
          <c:smooth val="0"/>
          <c:extLst>
            <c:ext xmlns:c16="http://schemas.microsoft.com/office/drawing/2014/chart" uri="{C3380CC4-5D6E-409C-BE32-E72D297353CC}">
              <c16:uniqueId val="{0000000B-778D-424F-B4FB-FA1EF508722F}"/>
            </c:ext>
          </c:extLst>
        </c:ser>
        <c:ser>
          <c:idx val="14"/>
          <c:order val="12"/>
          <c:tx>
            <c:strRef>
              <c:f>LTDTA!$Q$51</c:f>
              <c:strCache>
                <c:ptCount val="1"/>
                <c:pt idx="0">
                  <c:v>B</c:v>
                </c:pt>
              </c:strCache>
            </c:strRef>
          </c:tx>
          <c:spPr>
            <a:ln w="28575" cap="rnd">
              <a:solidFill>
                <a:srgbClr val="92D05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LTDTA!$Q$52:$Q$68</c:f>
              <c:numCache>
                <c:formatCode>General</c:formatCode>
                <c:ptCount val="17"/>
                <c:pt idx="0">
                  <c:v>0.42459999999999998</c:v>
                </c:pt>
                <c:pt idx="1">
                  <c:v>0.42649999999999999</c:v>
                </c:pt>
                <c:pt idx="2">
                  <c:v>0.42730000000000001</c:v>
                </c:pt>
                <c:pt idx="3">
                  <c:v>0.42570000000000002</c:v>
                </c:pt>
                <c:pt idx="4">
                  <c:v>0.42959999999999998</c:v>
                </c:pt>
                <c:pt idx="5">
                  <c:v>0.42820000000000003</c:v>
                </c:pt>
                <c:pt idx="6">
                  <c:v>0.42259999999999998</c:v>
                </c:pt>
                <c:pt idx="7">
                  <c:v>0.41570000000000001</c:v>
                </c:pt>
                <c:pt idx="8">
                  <c:v>0.41749999999999998</c:v>
                </c:pt>
                <c:pt idx="9">
                  <c:v>0.40789999999999998</c:v>
                </c:pt>
                <c:pt idx="10">
                  <c:v>0.40410000000000001</c:v>
                </c:pt>
                <c:pt idx="11">
                  <c:v>0.3957</c:v>
                </c:pt>
                <c:pt idx="12">
                  <c:v>0.39429999999999998</c:v>
                </c:pt>
                <c:pt idx="13">
                  <c:v>0.38929999999999998</c:v>
                </c:pt>
                <c:pt idx="14">
                  <c:v>0.39739999999999998</c:v>
                </c:pt>
                <c:pt idx="15">
                  <c:v>0.38940000000000002</c:v>
                </c:pt>
                <c:pt idx="16">
                  <c:v>0.38929999999999998</c:v>
                </c:pt>
              </c:numCache>
            </c:numRef>
          </c:val>
          <c:smooth val="0"/>
          <c:extLst>
            <c:ext xmlns:c16="http://schemas.microsoft.com/office/drawing/2014/chart" uri="{C3380CC4-5D6E-409C-BE32-E72D297353CC}">
              <c16:uniqueId val="{0000000C-778D-424F-B4FB-FA1EF508722F}"/>
            </c:ext>
          </c:extLst>
        </c:ser>
        <c:ser>
          <c:idx val="15"/>
          <c:order val="13"/>
          <c:tx>
            <c:strRef>
              <c:f>LTDTA!$R$51</c:f>
              <c:strCache>
                <c:ptCount val="1"/>
                <c:pt idx="0">
                  <c:v>B_-</c:v>
                </c:pt>
              </c:strCache>
            </c:strRef>
          </c:tx>
          <c:spPr>
            <a:ln w="28575" cap="rnd">
              <a:solidFill>
                <a:srgbClr val="92D050"/>
              </a:solidFill>
              <a:prstDash val="sys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LTDTA!$R$52:$R$68</c:f>
              <c:numCache>
                <c:formatCode>General</c:formatCode>
                <c:ptCount val="17"/>
                <c:pt idx="0">
                  <c:v>0.44529999999999997</c:v>
                </c:pt>
                <c:pt idx="1">
                  <c:v>0.4501</c:v>
                </c:pt>
                <c:pt idx="2">
                  <c:v>0.46239999999999998</c:v>
                </c:pt>
                <c:pt idx="3">
                  <c:v>0.4728</c:v>
                </c:pt>
                <c:pt idx="4">
                  <c:v>0.46089999999999998</c:v>
                </c:pt>
                <c:pt idx="5">
                  <c:v>0.45810000000000001</c:v>
                </c:pt>
                <c:pt idx="6">
                  <c:v>0.4541</c:v>
                </c:pt>
                <c:pt idx="7">
                  <c:v>0.45079999999999998</c:v>
                </c:pt>
                <c:pt idx="8">
                  <c:v>0.43719999999999998</c:v>
                </c:pt>
                <c:pt idx="9">
                  <c:v>0.42899999999999999</c:v>
                </c:pt>
                <c:pt idx="10">
                  <c:v>0.42630000000000001</c:v>
                </c:pt>
                <c:pt idx="11">
                  <c:v>0.42780000000000001</c:v>
                </c:pt>
                <c:pt idx="12">
                  <c:v>0.42249999999999999</c:v>
                </c:pt>
                <c:pt idx="13">
                  <c:v>0.4123</c:v>
                </c:pt>
                <c:pt idx="14">
                  <c:v>0.40410000000000001</c:v>
                </c:pt>
                <c:pt idx="15">
                  <c:v>0.3977</c:v>
                </c:pt>
                <c:pt idx="16">
                  <c:v>0.39229999999999998</c:v>
                </c:pt>
              </c:numCache>
            </c:numRef>
          </c:val>
          <c:smooth val="0"/>
          <c:extLst>
            <c:ext xmlns:c16="http://schemas.microsoft.com/office/drawing/2014/chart" uri="{C3380CC4-5D6E-409C-BE32-E72D297353CC}">
              <c16:uniqueId val="{0000000D-778D-424F-B4FB-FA1EF508722F}"/>
            </c:ext>
          </c:extLst>
        </c:ser>
        <c:ser>
          <c:idx val="16"/>
          <c:order val="14"/>
          <c:tx>
            <c:strRef>
              <c:f>LTDTA!$S$51</c:f>
              <c:strCache>
                <c:ptCount val="1"/>
                <c:pt idx="0">
                  <c:v>CCC+</c:v>
                </c:pt>
              </c:strCache>
            </c:strRef>
          </c:tx>
          <c:spPr>
            <a:ln w="28575" cap="rnd">
              <a:solidFill>
                <a:srgbClr val="00B0F0"/>
              </a:solidFill>
              <a:prstDash val="sysDot"/>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LTDTA!$S$52:$S$68</c:f>
              <c:numCache>
                <c:formatCode>General</c:formatCode>
                <c:ptCount val="17"/>
                <c:pt idx="0">
                  <c:v>0.43769999999999998</c:v>
                </c:pt>
                <c:pt idx="1">
                  <c:v>0.46839999999999998</c:v>
                </c:pt>
                <c:pt idx="2">
                  <c:v>0.48049999999999998</c:v>
                </c:pt>
                <c:pt idx="3">
                  <c:v>0.4677</c:v>
                </c:pt>
                <c:pt idx="4">
                  <c:v>0.4536</c:v>
                </c:pt>
                <c:pt idx="5">
                  <c:v>0.4481</c:v>
                </c:pt>
                <c:pt idx="6">
                  <c:v>0.44080000000000003</c:v>
                </c:pt>
                <c:pt idx="7">
                  <c:v>0.44779999999999998</c:v>
                </c:pt>
                <c:pt idx="8">
                  <c:v>0.4536</c:v>
                </c:pt>
                <c:pt idx="9">
                  <c:v>0.43480000000000002</c:v>
                </c:pt>
                <c:pt idx="10">
                  <c:v>0.43340000000000001</c:v>
                </c:pt>
                <c:pt idx="11">
                  <c:v>0.42759999999999998</c:v>
                </c:pt>
                <c:pt idx="12">
                  <c:v>0.40770000000000001</c:v>
                </c:pt>
                <c:pt idx="13">
                  <c:v>0.4254</c:v>
                </c:pt>
                <c:pt idx="14">
                  <c:v>0.44469999999999998</c:v>
                </c:pt>
                <c:pt idx="15">
                  <c:v>0.4254</c:v>
                </c:pt>
                <c:pt idx="16">
                  <c:v>0.43380000000000002</c:v>
                </c:pt>
              </c:numCache>
            </c:numRef>
          </c:val>
          <c:smooth val="0"/>
          <c:extLst>
            <c:ext xmlns:c16="http://schemas.microsoft.com/office/drawing/2014/chart" uri="{C3380CC4-5D6E-409C-BE32-E72D297353CC}">
              <c16:uniqueId val="{0000000E-778D-424F-B4FB-FA1EF508722F}"/>
            </c:ext>
          </c:extLst>
        </c:ser>
        <c:ser>
          <c:idx val="17"/>
          <c:order val="15"/>
          <c:tx>
            <c:strRef>
              <c:f>LTDTA!$T$51</c:f>
              <c:strCache>
                <c:ptCount val="1"/>
                <c:pt idx="0">
                  <c:v>CCC</c:v>
                </c:pt>
              </c:strCache>
            </c:strRef>
          </c:tx>
          <c:spPr>
            <a:ln w="28575" cap="rnd">
              <a:solidFill>
                <a:srgbClr val="00B0F0"/>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LTDTA!$T$52:$T$68</c:f>
              <c:numCache>
                <c:formatCode>General</c:formatCode>
                <c:ptCount val="17"/>
                <c:pt idx="0">
                  <c:v>0.4219</c:v>
                </c:pt>
                <c:pt idx="1">
                  <c:v>0.44240000000000002</c:v>
                </c:pt>
                <c:pt idx="2">
                  <c:v>0.43440000000000001</c:v>
                </c:pt>
                <c:pt idx="3">
                  <c:v>0.44729999999999998</c:v>
                </c:pt>
                <c:pt idx="4">
                  <c:v>0.43940000000000001</c:v>
                </c:pt>
                <c:pt idx="5">
                  <c:v>0.45960000000000001</c:v>
                </c:pt>
                <c:pt idx="6">
                  <c:v>0.4627</c:v>
                </c:pt>
                <c:pt idx="7">
                  <c:v>0.48359999999999997</c:v>
                </c:pt>
                <c:pt idx="8">
                  <c:v>0.48320000000000002</c:v>
                </c:pt>
                <c:pt idx="9">
                  <c:v>0.49459999999999998</c:v>
                </c:pt>
                <c:pt idx="10">
                  <c:v>0.49370000000000003</c:v>
                </c:pt>
                <c:pt idx="11">
                  <c:v>0.48499999999999999</c:v>
                </c:pt>
                <c:pt idx="12">
                  <c:v>0.47199999999999998</c:v>
                </c:pt>
                <c:pt idx="13">
                  <c:v>0.4743</c:v>
                </c:pt>
                <c:pt idx="14">
                  <c:v>0.46439999999999998</c:v>
                </c:pt>
                <c:pt idx="15">
                  <c:v>0.45850000000000002</c:v>
                </c:pt>
                <c:pt idx="16">
                  <c:v>0.42520000000000002</c:v>
                </c:pt>
              </c:numCache>
            </c:numRef>
          </c:val>
          <c:smooth val="0"/>
          <c:extLst>
            <c:ext xmlns:c16="http://schemas.microsoft.com/office/drawing/2014/chart" uri="{C3380CC4-5D6E-409C-BE32-E72D297353CC}">
              <c16:uniqueId val="{0000000F-778D-424F-B4FB-FA1EF508722F}"/>
            </c:ext>
          </c:extLst>
        </c:ser>
        <c:ser>
          <c:idx val="18"/>
          <c:order val="16"/>
          <c:tx>
            <c:strRef>
              <c:f>LTDTA!$U$51</c:f>
              <c:strCache>
                <c:ptCount val="1"/>
                <c:pt idx="0">
                  <c:v>CCC-</c:v>
                </c:pt>
              </c:strCache>
            </c:strRef>
          </c:tx>
          <c:spPr>
            <a:ln w="28575" cap="rnd">
              <a:solidFill>
                <a:srgbClr val="00B0F0"/>
              </a:solidFill>
              <a:prstDash val="sysDash"/>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LTDTA!$U$52:$U$68</c:f>
              <c:numCache>
                <c:formatCode>General</c:formatCode>
                <c:ptCount val="17"/>
                <c:pt idx="0">
                  <c:v>0.35499999999999998</c:v>
                </c:pt>
                <c:pt idx="1">
                  <c:v>0.36299999999999999</c:v>
                </c:pt>
                <c:pt idx="2">
                  <c:v>0.3488</c:v>
                </c:pt>
                <c:pt idx="3">
                  <c:v>0.34389999999999998</c:v>
                </c:pt>
                <c:pt idx="4">
                  <c:v>0.34310000000000002</c:v>
                </c:pt>
                <c:pt idx="5">
                  <c:v>0.3175</c:v>
                </c:pt>
                <c:pt idx="6">
                  <c:v>0.33639999999999998</c:v>
                </c:pt>
                <c:pt idx="7">
                  <c:v>0.32890000000000003</c:v>
                </c:pt>
                <c:pt idx="8">
                  <c:v>0.31709999999999999</c:v>
                </c:pt>
                <c:pt idx="9">
                  <c:v>0.33989999999999998</c:v>
                </c:pt>
                <c:pt idx="10">
                  <c:v>0.3382</c:v>
                </c:pt>
                <c:pt idx="11">
                  <c:v>0.32950000000000002</c:v>
                </c:pt>
                <c:pt idx="12">
                  <c:v>0.28699999999999998</c:v>
                </c:pt>
                <c:pt idx="13">
                  <c:v>0.31719999999999998</c:v>
                </c:pt>
                <c:pt idx="14">
                  <c:v>0.29920000000000002</c:v>
                </c:pt>
                <c:pt idx="15">
                  <c:v>0.32269999999999999</c:v>
                </c:pt>
                <c:pt idx="16">
                  <c:v>0.24490000000000001</c:v>
                </c:pt>
              </c:numCache>
            </c:numRef>
          </c:val>
          <c:smooth val="0"/>
          <c:extLst>
            <c:ext xmlns:c16="http://schemas.microsoft.com/office/drawing/2014/chart" uri="{C3380CC4-5D6E-409C-BE32-E72D297353CC}">
              <c16:uniqueId val="{00000010-778D-424F-B4FB-FA1EF508722F}"/>
            </c:ext>
          </c:extLst>
        </c:ser>
        <c:ser>
          <c:idx val="19"/>
          <c:order val="17"/>
          <c:tx>
            <c:strRef>
              <c:f>LTDTA!$V$51</c:f>
              <c:strCache>
                <c:ptCount val="1"/>
                <c:pt idx="0">
                  <c:v>CC</c:v>
                </c:pt>
              </c:strCache>
            </c:strRef>
          </c:tx>
          <c:spPr>
            <a:ln w="28575" cap="rnd">
              <a:solidFill>
                <a:schemeClr val="accent2">
                  <a:lumMod val="80000"/>
                </a:schemeClr>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LTDTA!$V$52:$V$68</c:f>
              <c:numCache>
                <c:formatCode>General</c:formatCode>
                <c:ptCount val="17"/>
                <c:pt idx="0">
                  <c:v>0.53059999999999996</c:v>
                </c:pt>
                <c:pt idx="1">
                  <c:v>0.54200000000000004</c:v>
                </c:pt>
                <c:pt idx="2">
                  <c:v>0.53180000000000005</c:v>
                </c:pt>
                <c:pt idx="3">
                  <c:v>0.53090000000000004</c:v>
                </c:pt>
                <c:pt idx="4">
                  <c:v>0.54320000000000002</c:v>
                </c:pt>
                <c:pt idx="5">
                  <c:v>0.53600000000000003</c:v>
                </c:pt>
                <c:pt idx="6">
                  <c:v>0.5101</c:v>
                </c:pt>
                <c:pt idx="7">
                  <c:v>0.53700000000000003</c:v>
                </c:pt>
                <c:pt idx="8">
                  <c:v>0.54659999999999997</c:v>
                </c:pt>
                <c:pt idx="9">
                  <c:v>0.5736</c:v>
                </c:pt>
                <c:pt idx="10">
                  <c:v>0.55069999999999997</c:v>
                </c:pt>
                <c:pt idx="11">
                  <c:v>0.50849999999999995</c:v>
                </c:pt>
                <c:pt idx="12">
                  <c:v>0.49059999999999998</c:v>
                </c:pt>
                <c:pt idx="13">
                  <c:v>0.50239999999999996</c:v>
                </c:pt>
                <c:pt idx="14">
                  <c:v>0.49740000000000001</c:v>
                </c:pt>
                <c:pt idx="15">
                  <c:v>0.45590000000000003</c:v>
                </c:pt>
                <c:pt idx="16">
                  <c:v>0.45989999999999998</c:v>
                </c:pt>
              </c:numCache>
            </c:numRef>
          </c:val>
          <c:smooth val="0"/>
          <c:extLst>
            <c:ext xmlns:c16="http://schemas.microsoft.com/office/drawing/2014/chart" uri="{C3380CC4-5D6E-409C-BE32-E72D297353CC}">
              <c16:uniqueId val="{00000011-778D-424F-B4FB-FA1EF508722F}"/>
            </c:ext>
          </c:extLst>
        </c:ser>
        <c:ser>
          <c:idx val="21"/>
          <c:order val="18"/>
          <c:tx>
            <c:strRef>
              <c:f>LTDTA!$X$51</c:f>
              <c:strCache>
                <c:ptCount val="1"/>
                <c:pt idx="0">
                  <c:v>D</c:v>
                </c:pt>
              </c:strCache>
            </c:strRef>
          </c:tx>
          <c:spPr>
            <a:ln w="28575" cap="rnd">
              <a:solidFill>
                <a:schemeClr val="accent4">
                  <a:lumMod val="80000"/>
                </a:schemeClr>
              </a:solidFill>
              <a:round/>
            </a:ln>
            <a:effectLst/>
          </c:spPr>
          <c:marker>
            <c:symbol val="none"/>
          </c:marker>
          <c:cat>
            <c:strRef>
              <c:f>LTDTA!$B$52:$B$68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LTDTA!$X$52:$X$68</c:f>
              <c:numCache>
                <c:formatCode>General</c:formatCode>
                <c:ptCount val="17"/>
                <c:pt idx="0">
                  <c:v>0.42699999999999999</c:v>
                </c:pt>
                <c:pt idx="1">
                  <c:v>0.41</c:v>
                </c:pt>
                <c:pt idx="2">
                  <c:v>0.37269999999999998</c:v>
                </c:pt>
                <c:pt idx="3">
                  <c:v>0.33040000000000003</c:v>
                </c:pt>
                <c:pt idx="4">
                  <c:v>0.32490000000000002</c:v>
                </c:pt>
                <c:pt idx="5">
                  <c:v>0.26850000000000002</c:v>
                </c:pt>
                <c:pt idx="6">
                  <c:v>0.27539999999999998</c:v>
                </c:pt>
                <c:pt idx="7">
                  <c:v>0.32290000000000002</c:v>
                </c:pt>
                <c:pt idx="8">
                  <c:v>0.40649999999999997</c:v>
                </c:pt>
                <c:pt idx="9">
                  <c:v>0.39879999999999999</c:v>
                </c:pt>
                <c:pt idx="10">
                  <c:v>0.38369999999999999</c:v>
                </c:pt>
                <c:pt idx="11">
                  <c:v>0.3725</c:v>
                </c:pt>
                <c:pt idx="12">
                  <c:v>0.39100000000000001</c:v>
                </c:pt>
                <c:pt idx="13">
                  <c:v>0.39589999999999997</c:v>
                </c:pt>
                <c:pt idx="14">
                  <c:v>0.41039999999999999</c:v>
                </c:pt>
                <c:pt idx="15">
                  <c:v>0.41620000000000001</c:v>
                </c:pt>
                <c:pt idx="16">
                  <c:v>0.39119999999999999</c:v>
                </c:pt>
              </c:numCache>
            </c:numRef>
          </c:val>
          <c:smooth val="0"/>
          <c:extLst>
            <c:ext xmlns:c16="http://schemas.microsoft.com/office/drawing/2014/chart" uri="{C3380CC4-5D6E-409C-BE32-E72D297353CC}">
              <c16:uniqueId val="{00000012-778D-424F-B4FB-FA1EF508722F}"/>
            </c:ext>
          </c:extLst>
        </c:ser>
        <c:dLbls>
          <c:showLegendKey val="0"/>
          <c:showVal val="0"/>
          <c:showCatName val="0"/>
          <c:showSerName val="0"/>
          <c:showPercent val="0"/>
          <c:showBubbleSize val="0"/>
        </c:dLbls>
        <c:smooth val="0"/>
        <c:axId val="204697672"/>
        <c:axId val="204690616"/>
      </c:lineChart>
      <c:catAx>
        <c:axId val="204697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 Relative to Ratings Process (Q0)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90616"/>
        <c:crosses val="autoZero"/>
        <c:auto val="1"/>
        <c:lblAlgn val="ctr"/>
        <c:lblOffset val="100"/>
        <c:noMultiLvlLbl val="0"/>
      </c:catAx>
      <c:valAx>
        <c:axId val="20469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9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2</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Total-Debt-to-Total Assets (TD/TA) Ratios for Firms with Downgrades by</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Without Prior Credit Watch Placements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TDTA!$AF$51</c:f>
              <c:strCache>
                <c:ptCount val="1"/>
                <c:pt idx="0">
                  <c:v>AAA</c:v>
                </c:pt>
              </c:strCache>
            </c:strRef>
          </c:tx>
          <c:spPr>
            <a:ln w="28575" cap="rnd">
              <a:solidFill>
                <a:schemeClr val="accent1"/>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TDTA!$AF$52:$AF$68</c:f>
              <c:numCache>
                <c:formatCode>General</c:formatCode>
                <c:ptCount val="17"/>
                <c:pt idx="0">
                  <c:v>0.27550000000000002</c:v>
                </c:pt>
                <c:pt idx="1">
                  <c:v>0.2777</c:v>
                </c:pt>
                <c:pt idx="2">
                  <c:v>0.28849999999999998</c:v>
                </c:pt>
                <c:pt idx="3">
                  <c:v>0.27729999999999999</c:v>
                </c:pt>
                <c:pt idx="4">
                  <c:v>0.28199999999999997</c:v>
                </c:pt>
                <c:pt idx="5">
                  <c:v>0.28449999999999998</c:v>
                </c:pt>
                <c:pt idx="6">
                  <c:v>0.28660000000000002</c:v>
                </c:pt>
                <c:pt idx="7">
                  <c:v>0.2782</c:v>
                </c:pt>
                <c:pt idx="8">
                  <c:v>0.28410000000000002</c:v>
                </c:pt>
                <c:pt idx="9">
                  <c:v>0.33050000000000002</c:v>
                </c:pt>
                <c:pt idx="10">
                  <c:v>0.33450000000000002</c:v>
                </c:pt>
                <c:pt idx="11">
                  <c:v>0.33789999999999998</c:v>
                </c:pt>
                <c:pt idx="12">
                  <c:v>0.34429999999999999</c:v>
                </c:pt>
                <c:pt idx="13">
                  <c:v>0.35099999999999998</c:v>
                </c:pt>
                <c:pt idx="14">
                  <c:v>0.35220000000000001</c:v>
                </c:pt>
                <c:pt idx="15">
                  <c:v>0.3523</c:v>
                </c:pt>
                <c:pt idx="16">
                  <c:v>0.34179999999999999</c:v>
                </c:pt>
              </c:numCache>
            </c:numRef>
          </c:val>
          <c:smooth val="0"/>
          <c:extLst>
            <c:ext xmlns:c16="http://schemas.microsoft.com/office/drawing/2014/chart" uri="{C3380CC4-5D6E-409C-BE32-E72D297353CC}">
              <c16:uniqueId val="{00000000-46B4-4974-AB9F-9EA9A3310C70}"/>
            </c:ext>
          </c:extLst>
        </c:ser>
        <c:ser>
          <c:idx val="1"/>
          <c:order val="1"/>
          <c:tx>
            <c:strRef>
              <c:f>TDTA!$AG$51</c:f>
              <c:strCache>
                <c:ptCount val="1"/>
                <c:pt idx="0">
                  <c:v>AA+</c:v>
                </c:pt>
              </c:strCache>
            </c:strRef>
          </c:tx>
          <c:spPr>
            <a:ln w="28575" cap="rnd">
              <a:solidFill>
                <a:srgbClr val="C0000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TDTA!$AG$52:$AG$68</c:f>
              <c:numCache>
                <c:formatCode>General</c:formatCode>
                <c:ptCount val="17"/>
                <c:pt idx="0">
                  <c:v>0.24179999999999999</c:v>
                </c:pt>
                <c:pt idx="1">
                  <c:v>0.24279999999999999</c:v>
                </c:pt>
                <c:pt idx="2">
                  <c:v>0.2442</c:v>
                </c:pt>
                <c:pt idx="3">
                  <c:v>0.2392</c:v>
                </c:pt>
                <c:pt idx="4">
                  <c:v>0.2487</c:v>
                </c:pt>
                <c:pt idx="5">
                  <c:v>0.24940000000000001</c:v>
                </c:pt>
                <c:pt idx="6">
                  <c:v>0.2611</c:v>
                </c:pt>
                <c:pt idx="7">
                  <c:v>0.25829999999999997</c:v>
                </c:pt>
                <c:pt idx="8">
                  <c:v>0.2722</c:v>
                </c:pt>
                <c:pt idx="9">
                  <c:v>0.27439999999999998</c:v>
                </c:pt>
                <c:pt idx="10">
                  <c:v>0.2777</c:v>
                </c:pt>
                <c:pt idx="11">
                  <c:v>0.26919999999999999</c:v>
                </c:pt>
                <c:pt idx="12">
                  <c:v>0.26269999999999999</c:v>
                </c:pt>
                <c:pt idx="13">
                  <c:v>0.27400000000000002</c:v>
                </c:pt>
                <c:pt idx="14">
                  <c:v>0.27210000000000001</c:v>
                </c:pt>
                <c:pt idx="15">
                  <c:v>0.26440000000000002</c:v>
                </c:pt>
                <c:pt idx="16">
                  <c:v>0.27889999999999998</c:v>
                </c:pt>
              </c:numCache>
            </c:numRef>
          </c:val>
          <c:smooth val="0"/>
          <c:extLst>
            <c:ext xmlns:c16="http://schemas.microsoft.com/office/drawing/2014/chart" uri="{C3380CC4-5D6E-409C-BE32-E72D297353CC}">
              <c16:uniqueId val="{00000001-46B4-4974-AB9F-9EA9A3310C70}"/>
            </c:ext>
          </c:extLst>
        </c:ser>
        <c:ser>
          <c:idx val="2"/>
          <c:order val="2"/>
          <c:tx>
            <c:strRef>
              <c:f>TDTA!$AH$51</c:f>
              <c:strCache>
                <c:ptCount val="1"/>
                <c:pt idx="0">
                  <c:v>AA</c:v>
                </c:pt>
              </c:strCache>
            </c:strRef>
          </c:tx>
          <c:spPr>
            <a:ln w="28575" cap="rnd">
              <a:solidFill>
                <a:srgbClr val="C0000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TDTA!$AH$52:$AH$68</c:f>
              <c:numCache>
                <c:formatCode>General</c:formatCode>
                <c:ptCount val="17"/>
                <c:pt idx="0">
                  <c:v>0.26190000000000002</c:v>
                </c:pt>
                <c:pt idx="1">
                  <c:v>0.26400000000000001</c:v>
                </c:pt>
                <c:pt idx="2">
                  <c:v>0.26800000000000002</c:v>
                </c:pt>
                <c:pt idx="3">
                  <c:v>0.27400000000000002</c:v>
                </c:pt>
                <c:pt idx="4">
                  <c:v>0.27360000000000001</c:v>
                </c:pt>
                <c:pt idx="5">
                  <c:v>0.27329999999999999</c:v>
                </c:pt>
                <c:pt idx="6">
                  <c:v>0.27510000000000001</c:v>
                </c:pt>
                <c:pt idx="7">
                  <c:v>0.27979999999999999</c:v>
                </c:pt>
                <c:pt idx="8">
                  <c:v>0.28449999999999998</c:v>
                </c:pt>
                <c:pt idx="9">
                  <c:v>0.2913</c:v>
                </c:pt>
                <c:pt idx="10">
                  <c:v>0.28939999999999999</c:v>
                </c:pt>
                <c:pt idx="11">
                  <c:v>0.29110000000000003</c:v>
                </c:pt>
                <c:pt idx="12">
                  <c:v>0.2873</c:v>
                </c:pt>
                <c:pt idx="13">
                  <c:v>0.27750000000000002</c:v>
                </c:pt>
                <c:pt idx="14">
                  <c:v>0.28089999999999998</c:v>
                </c:pt>
                <c:pt idx="15">
                  <c:v>0.27839999999999998</c:v>
                </c:pt>
                <c:pt idx="16">
                  <c:v>0.28129999999999999</c:v>
                </c:pt>
              </c:numCache>
            </c:numRef>
          </c:val>
          <c:smooth val="0"/>
          <c:extLst>
            <c:ext xmlns:c16="http://schemas.microsoft.com/office/drawing/2014/chart" uri="{C3380CC4-5D6E-409C-BE32-E72D297353CC}">
              <c16:uniqueId val="{00000002-46B4-4974-AB9F-9EA9A3310C70}"/>
            </c:ext>
          </c:extLst>
        </c:ser>
        <c:ser>
          <c:idx val="3"/>
          <c:order val="3"/>
          <c:tx>
            <c:strRef>
              <c:f>TDTA!$AI$51</c:f>
              <c:strCache>
                <c:ptCount val="1"/>
                <c:pt idx="0">
                  <c:v>AA-</c:v>
                </c:pt>
              </c:strCache>
            </c:strRef>
          </c:tx>
          <c:spPr>
            <a:ln w="28575" cap="rnd">
              <a:solidFill>
                <a:srgbClr val="C0000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TDTA!$AI$52:$AI$68</c:f>
              <c:numCache>
                <c:formatCode>General</c:formatCode>
                <c:ptCount val="17"/>
                <c:pt idx="0">
                  <c:v>0.29210000000000003</c:v>
                </c:pt>
                <c:pt idx="1">
                  <c:v>0.29389999999999999</c:v>
                </c:pt>
                <c:pt idx="2">
                  <c:v>0.29780000000000001</c:v>
                </c:pt>
                <c:pt idx="3">
                  <c:v>0.29680000000000001</c:v>
                </c:pt>
                <c:pt idx="4">
                  <c:v>0.29699999999999999</c:v>
                </c:pt>
                <c:pt idx="5">
                  <c:v>0.29780000000000001</c:v>
                </c:pt>
                <c:pt idx="6">
                  <c:v>0.29949999999999999</c:v>
                </c:pt>
                <c:pt idx="7">
                  <c:v>0.29289999999999999</c:v>
                </c:pt>
                <c:pt idx="8">
                  <c:v>0.30549999999999999</c:v>
                </c:pt>
                <c:pt idx="9">
                  <c:v>0.30399999999999999</c:v>
                </c:pt>
                <c:pt idx="10">
                  <c:v>0.30709999999999998</c:v>
                </c:pt>
                <c:pt idx="11">
                  <c:v>0.30349999999999999</c:v>
                </c:pt>
                <c:pt idx="12">
                  <c:v>0.3049</c:v>
                </c:pt>
                <c:pt idx="13">
                  <c:v>0.29820000000000002</c:v>
                </c:pt>
                <c:pt idx="14">
                  <c:v>0.3</c:v>
                </c:pt>
                <c:pt idx="15">
                  <c:v>0.29899999999999999</c:v>
                </c:pt>
                <c:pt idx="16">
                  <c:v>0.29880000000000001</c:v>
                </c:pt>
              </c:numCache>
            </c:numRef>
          </c:val>
          <c:smooth val="0"/>
          <c:extLst>
            <c:ext xmlns:c16="http://schemas.microsoft.com/office/drawing/2014/chart" uri="{C3380CC4-5D6E-409C-BE32-E72D297353CC}">
              <c16:uniqueId val="{00000003-46B4-4974-AB9F-9EA9A3310C70}"/>
            </c:ext>
          </c:extLst>
        </c:ser>
        <c:ser>
          <c:idx val="4"/>
          <c:order val="4"/>
          <c:tx>
            <c:strRef>
              <c:f>TDTA!$AJ$51</c:f>
              <c:strCache>
                <c:ptCount val="1"/>
                <c:pt idx="0">
                  <c:v>A+</c:v>
                </c:pt>
              </c:strCache>
            </c:strRef>
          </c:tx>
          <c:spPr>
            <a:ln w="28575" cap="rnd">
              <a:solidFill>
                <a:srgbClr val="7030A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TDTA!$AJ$52:$AJ$68</c:f>
              <c:numCache>
                <c:formatCode>General</c:formatCode>
                <c:ptCount val="17"/>
                <c:pt idx="0">
                  <c:v>0.28660000000000002</c:v>
                </c:pt>
                <c:pt idx="1">
                  <c:v>0.28589999999999999</c:v>
                </c:pt>
                <c:pt idx="2">
                  <c:v>0.28910000000000002</c:v>
                </c:pt>
                <c:pt idx="3">
                  <c:v>0.2918</c:v>
                </c:pt>
                <c:pt idx="4">
                  <c:v>0.29370000000000002</c:v>
                </c:pt>
                <c:pt idx="5">
                  <c:v>0.2949</c:v>
                </c:pt>
                <c:pt idx="6">
                  <c:v>0.29709999999999998</c:v>
                </c:pt>
                <c:pt idx="7">
                  <c:v>0.30099999999999999</c:v>
                </c:pt>
                <c:pt idx="8">
                  <c:v>0.31419999999999998</c:v>
                </c:pt>
                <c:pt idx="9">
                  <c:v>0.31119999999999998</c:v>
                </c:pt>
                <c:pt idx="10">
                  <c:v>0.31119999999999998</c:v>
                </c:pt>
                <c:pt idx="11">
                  <c:v>0.3155</c:v>
                </c:pt>
                <c:pt idx="12">
                  <c:v>0.31240000000000001</c:v>
                </c:pt>
                <c:pt idx="13">
                  <c:v>0.307</c:v>
                </c:pt>
                <c:pt idx="14">
                  <c:v>0.30590000000000001</c:v>
                </c:pt>
                <c:pt idx="15">
                  <c:v>0.31030000000000002</c:v>
                </c:pt>
                <c:pt idx="16">
                  <c:v>0.31380000000000002</c:v>
                </c:pt>
              </c:numCache>
            </c:numRef>
          </c:val>
          <c:smooth val="0"/>
          <c:extLst>
            <c:ext xmlns:c16="http://schemas.microsoft.com/office/drawing/2014/chart" uri="{C3380CC4-5D6E-409C-BE32-E72D297353CC}">
              <c16:uniqueId val="{00000004-46B4-4974-AB9F-9EA9A3310C70}"/>
            </c:ext>
          </c:extLst>
        </c:ser>
        <c:ser>
          <c:idx val="5"/>
          <c:order val="5"/>
          <c:tx>
            <c:strRef>
              <c:f>TDTA!$AK$51</c:f>
              <c:strCache>
                <c:ptCount val="1"/>
                <c:pt idx="0">
                  <c:v>A</c:v>
                </c:pt>
              </c:strCache>
            </c:strRef>
          </c:tx>
          <c:spPr>
            <a:ln w="28575" cap="rnd">
              <a:solidFill>
                <a:srgbClr val="7030A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TDTA!$AK$52:$AK$68</c:f>
              <c:numCache>
                <c:formatCode>General</c:formatCode>
                <c:ptCount val="17"/>
                <c:pt idx="0">
                  <c:v>0.2797</c:v>
                </c:pt>
                <c:pt idx="1">
                  <c:v>0.28539999999999999</c:v>
                </c:pt>
                <c:pt idx="2">
                  <c:v>0.28639999999999999</c:v>
                </c:pt>
                <c:pt idx="3">
                  <c:v>0.28489999999999999</c:v>
                </c:pt>
                <c:pt idx="4">
                  <c:v>0.2868</c:v>
                </c:pt>
                <c:pt idx="5">
                  <c:v>0.28870000000000001</c:v>
                </c:pt>
                <c:pt idx="6">
                  <c:v>0.28999999999999998</c:v>
                </c:pt>
                <c:pt idx="7">
                  <c:v>0.29260000000000003</c:v>
                </c:pt>
                <c:pt idx="8">
                  <c:v>0.30709999999999998</c:v>
                </c:pt>
                <c:pt idx="9">
                  <c:v>0.30680000000000002</c:v>
                </c:pt>
                <c:pt idx="10">
                  <c:v>0.30740000000000001</c:v>
                </c:pt>
                <c:pt idx="11">
                  <c:v>0.30320000000000003</c:v>
                </c:pt>
                <c:pt idx="12">
                  <c:v>0.3004</c:v>
                </c:pt>
                <c:pt idx="13">
                  <c:v>0.29680000000000001</c:v>
                </c:pt>
                <c:pt idx="14">
                  <c:v>0.29730000000000001</c:v>
                </c:pt>
                <c:pt idx="15">
                  <c:v>0.29499999999999998</c:v>
                </c:pt>
                <c:pt idx="16">
                  <c:v>0.29580000000000001</c:v>
                </c:pt>
              </c:numCache>
            </c:numRef>
          </c:val>
          <c:smooth val="0"/>
          <c:extLst>
            <c:ext xmlns:c16="http://schemas.microsoft.com/office/drawing/2014/chart" uri="{C3380CC4-5D6E-409C-BE32-E72D297353CC}">
              <c16:uniqueId val="{00000005-46B4-4974-AB9F-9EA9A3310C70}"/>
            </c:ext>
          </c:extLst>
        </c:ser>
        <c:ser>
          <c:idx val="6"/>
          <c:order val="6"/>
          <c:tx>
            <c:strRef>
              <c:f>TDTA!$AL$51</c:f>
              <c:strCache>
                <c:ptCount val="1"/>
                <c:pt idx="0">
                  <c:v>A-</c:v>
                </c:pt>
              </c:strCache>
            </c:strRef>
          </c:tx>
          <c:spPr>
            <a:ln w="28575" cap="rnd">
              <a:solidFill>
                <a:srgbClr val="7030A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TDTA!$AL$52:$AL$68</c:f>
              <c:numCache>
                <c:formatCode>General</c:formatCode>
                <c:ptCount val="17"/>
                <c:pt idx="0">
                  <c:v>0.28760000000000002</c:v>
                </c:pt>
                <c:pt idx="1">
                  <c:v>0.28870000000000001</c:v>
                </c:pt>
                <c:pt idx="2">
                  <c:v>0.2833</c:v>
                </c:pt>
                <c:pt idx="3">
                  <c:v>0.28810000000000002</c:v>
                </c:pt>
                <c:pt idx="4">
                  <c:v>0.29020000000000001</c:v>
                </c:pt>
                <c:pt idx="5">
                  <c:v>0.29160000000000003</c:v>
                </c:pt>
                <c:pt idx="6">
                  <c:v>0.2944</c:v>
                </c:pt>
                <c:pt idx="7">
                  <c:v>0.2974</c:v>
                </c:pt>
                <c:pt idx="8">
                  <c:v>0.30590000000000001</c:v>
                </c:pt>
                <c:pt idx="9">
                  <c:v>0.30840000000000001</c:v>
                </c:pt>
                <c:pt idx="10">
                  <c:v>0.30840000000000001</c:v>
                </c:pt>
                <c:pt idx="11">
                  <c:v>0.308</c:v>
                </c:pt>
                <c:pt idx="12">
                  <c:v>0.30880000000000002</c:v>
                </c:pt>
                <c:pt idx="13">
                  <c:v>0.30620000000000003</c:v>
                </c:pt>
                <c:pt idx="14">
                  <c:v>0.3004</c:v>
                </c:pt>
                <c:pt idx="15">
                  <c:v>0.29820000000000002</c:v>
                </c:pt>
                <c:pt idx="16">
                  <c:v>0.30280000000000001</c:v>
                </c:pt>
              </c:numCache>
            </c:numRef>
          </c:val>
          <c:smooth val="0"/>
          <c:extLst>
            <c:ext xmlns:c16="http://schemas.microsoft.com/office/drawing/2014/chart" uri="{C3380CC4-5D6E-409C-BE32-E72D297353CC}">
              <c16:uniqueId val="{00000006-46B4-4974-AB9F-9EA9A3310C70}"/>
            </c:ext>
          </c:extLst>
        </c:ser>
        <c:ser>
          <c:idx val="7"/>
          <c:order val="7"/>
          <c:tx>
            <c:strRef>
              <c:f>TDTA!$AM$51</c:f>
              <c:strCache>
                <c:ptCount val="1"/>
                <c:pt idx="0">
                  <c:v>BBB+</c:v>
                </c:pt>
              </c:strCache>
            </c:strRef>
          </c:tx>
          <c:spPr>
            <a:ln w="28575" cap="rnd">
              <a:solidFill>
                <a:srgbClr val="FFC00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TDTA!$AM$52:$AM$68</c:f>
              <c:numCache>
                <c:formatCode>General</c:formatCode>
                <c:ptCount val="17"/>
                <c:pt idx="0">
                  <c:v>0.29360000000000003</c:v>
                </c:pt>
                <c:pt idx="1">
                  <c:v>0.29480000000000001</c:v>
                </c:pt>
                <c:pt idx="2">
                  <c:v>0.29799999999999999</c:v>
                </c:pt>
                <c:pt idx="3">
                  <c:v>0.29870000000000002</c:v>
                </c:pt>
                <c:pt idx="4">
                  <c:v>0.30520000000000003</c:v>
                </c:pt>
                <c:pt idx="5">
                  <c:v>0.30990000000000001</c:v>
                </c:pt>
                <c:pt idx="6">
                  <c:v>0.30940000000000001</c:v>
                </c:pt>
                <c:pt idx="7">
                  <c:v>0.31569999999999998</c:v>
                </c:pt>
                <c:pt idx="8">
                  <c:v>0.32729999999999998</c:v>
                </c:pt>
                <c:pt idx="9">
                  <c:v>0.3261</c:v>
                </c:pt>
                <c:pt idx="10">
                  <c:v>0.32229999999999998</c:v>
                </c:pt>
                <c:pt idx="11">
                  <c:v>0.32050000000000001</c:v>
                </c:pt>
                <c:pt idx="12">
                  <c:v>0.3206</c:v>
                </c:pt>
                <c:pt idx="13">
                  <c:v>0.31659999999999999</c:v>
                </c:pt>
                <c:pt idx="14">
                  <c:v>0.31109999999999999</c:v>
                </c:pt>
                <c:pt idx="15">
                  <c:v>0.30709999999999998</c:v>
                </c:pt>
                <c:pt idx="16">
                  <c:v>0.30809999999999998</c:v>
                </c:pt>
              </c:numCache>
            </c:numRef>
          </c:val>
          <c:smooth val="0"/>
          <c:extLst>
            <c:ext xmlns:c16="http://schemas.microsoft.com/office/drawing/2014/chart" uri="{C3380CC4-5D6E-409C-BE32-E72D297353CC}">
              <c16:uniqueId val="{00000007-46B4-4974-AB9F-9EA9A3310C70}"/>
            </c:ext>
          </c:extLst>
        </c:ser>
        <c:ser>
          <c:idx val="8"/>
          <c:order val="8"/>
          <c:tx>
            <c:strRef>
              <c:f>TDTA!$AN$51</c:f>
              <c:strCache>
                <c:ptCount val="1"/>
                <c:pt idx="0">
                  <c:v>BBB</c:v>
                </c:pt>
              </c:strCache>
            </c:strRef>
          </c:tx>
          <c:spPr>
            <a:ln w="28575" cap="rnd">
              <a:solidFill>
                <a:srgbClr val="FFC00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TDTA!$AN$52:$AN$68</c:f>
              <c:numCache>
                <c:formatCode>General</c:formatCode>
                <c:ptCount val="17"/>
                <c:pt idx="0">
                  <c:v>0.31850000000000001</c:v>
                </c:pt>
                <c:pt idx="1">
                  <c:v>0.3211</c:v>
                </c:pt>
                <c:pt idx="2">
                  <c:v>0.32700000000000001</c:v>
                </c:pt>
                <c:pt idx="3">
                  <c:v>0.33360000000000001</c:v>
                </c:pt>
                <c:pt idx="4">
                  <c:v>0.3362</c:v>
                </c:pt>
                <c:pt idx="5">
                  <c:v>0.33589999999999998</c:v>
                </c:pt>
                <c:pt idx="6">
                  <c:v>0.33560000000000001</c:v>
                </c:pt>
                <c:pt idx="7">
                  <c:v>0.33579999999999999</c:v>
                </c:pt>
                <c:pt idx="8">
                  <c:v>0.34860000000000002</c:v>
                </c:pt>
                <c:pt idx="9">
                  <c:v>0.34910000000000002</c:v>
                </c:pt>
                <c:pt idx="10">
                  <c:v>0.34539999999999998</c:v>
                </c:pt>
                <c:pt idx="11">
                  <c:v>0.34189999999999998</c:v>
                </c:pt>
                <c:pt idx="12">
                  <c:v>0.33800000000000002</c:v>
                </c:pt>
                <c:pt idx="13">
                  <c:v>0.3337</c:v>
                </c:pt>
                <c:pt idx="14">
                  <c:v>0.33379999999999999</c:v>
                </c:pt>
                <c:pt idx="15">
                  <c:v>0.33600000000000002</c:v>
                </c:pt>
                <c:pt idx="16">
                  <c:v>0.33069999999999999</c:v>
                </c:pt>
              </c:numCache>
            </c:numRef>
          </c:val>
          <c:smooth val="0"/>
          <c:extLst>
            <c:ext xmlns:c16="http://schemas.microsoft.com/office/drawing/2014/chart" uri="{C3380CC4-5D6E-409C-BE32-E72D297353CC}">
              <c16:uniqueId val="{00000008-46B4-4974-AB9F-9EA9A3310C70}"/>
            </c:ext>
          </c:extLst>
        </c:ser>
        <c:ser>
          <c:idx val="9"/>
          <c:order val="9"/>
          <c:tx>
            <c:strRef>
              <c:f>TDTA!$AO$51</c:f>
              <c:strCache>
                <c:ptCount val="1"/>
                <c:pt idx="0">
                  <c:v>BBB-</c:v>
                </c:pt>
              </c:strCache>
            </c:strRef>
          </c:tx>
          <c:spPr>
            <a:ln w="28575" cap="rnd">
              <a:solidFill>
                <a:srgbClr val="FFC00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TDTA!$AO$52:$AO$68</c:f>
              <c:numCache>
                <c:formatCode>General</c:formatCode>
                <c:ptCount val="17"/>
                <c:pt idx="0">
                  <c:v>0.31369999999999998</c:v>
                </c:pt>
                <c:pt idx="1">
                  <c:v>0.3206</c:v>
                </c:pt>
                <c:pt idx="2">
                  <c:v>0.32079999999999997</c:v>
                </c:pt>
                <c:pt idx="3">
                  <c:v>0.32669999999999999</c:v>
                </c:pt>
                <c:pt idx="4">
                  <c:v>0.3301</c:v>
                </c:pt>
                <c:pt idx="5">
                  <c:v>0.33100000000000002</c:v>
                </c:pt>
                <c:pt idx="6">
                  <c:v>0.33989999999999998</c:v>
                </c:pt>
                <c:pt idx="7">
                  <c:v>0.34699999999999998</c:v>
                </c:pt>
                <c:pt idx="8">
                  <c:v>0.35620000000000002</c:v>
                </c:pt>
                <c:pt idx="9">
                  <c:v>0.35870000000000002</c:v>
                </c:pt>
                <c:pt idx="10">
                  <c:v>0.35949999999999999</c:v>
                </c:pt>
                <c:pt idx="11">
                  <c:v>0.35389999999999999</c:v>
                </c:pt>
                <c:pt idx="12">
                  <c:v>0.3463</c:v>
                </c:pt>
                <c:pt idx="13">
                  <c:v>0.34970000000000001</c:v>
                </c:pt>
                <c:pt idx="14">
                  <c:v>0.34960000000000002</c:v>
                </c:pt>
                <c:pt idx="15">
                  <c:v>0.35270000000000001</c:v>
                </c:pt>
                <c:pt idx="16">
                  <c:v>0.35110000000000002</c:v>
                </c:pt>
              </c:numCache>
            </c:numRef>
          </c:val>
          <c:smooth val="0"/>
          <c:extLst>
            <c:ext xmlns:c16="http://schemas.microsoft.com/office/drawing/2014/chart" uri="{C3380CC4-5D6E-409C-BE32-E72D297353CC}">
              <c16:uniqueId val="{00000009-46B4-4974-AB9F-9EA9A3310C70}"/>
            </c:ext>
          </c:extLst>
        </c:ser>
        <c:ser>
          <c:idx val="10"/>
          <c:order val="10"/>
          <c:tx>
            <c:strRef>
              <c:f>TDTA!$AP$51</c:f>
              <c:strCache>
                <c:ptCount val="1"/>
                <c:pt idx="0">
                  <c:v>BB+</c:v>
                </c:pt>
              </c:strCache>
            </c:strRef>
          </c:tx>
          <c:spPr>
            <a:ln w="28575" cap="rnd">
              <a:solidFill>
                <a:srgbClr val="00206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TDTA!$AP$52:$AP$68</c:f>
              <c:numCache>
                <c:formatCode>General</c:formatCode>
                <c:ptCount val="17"/>
                <c:pt idx="0">
                  <c:v>0.33639999999999998</c:v>
                </c:pt>
                <c:pt idx="1">
                  <c:v>0.3377</c:v>
                </c:pt>
                <c:pt idx="2">
                  <c:v>0.34029999999999999</c:v>
                </c:pt>
                <c:pt idx="3">
                  <c:v>0.34660000000000002</c:v>
                </c:pt>
                <c:pt idx="4">
                  <c:v>0.3518</c:v>
                </c:pt>
                <c:pt idx="5">
                  <c:v>0.35460000000000003</c:v>
                </c:pt>
                <c:pt idx="6">
                  <c:v>0.3533</c:v>
                </c:pt>
                <c:pt idx="7">
                  <c:v>0.36109999999999998</c:v>
                </c:pt>
                <c:pt idx="8">
                  <c:v>0.37609999999999999</c:v>
                </c:pt>
                <c:pt idx="9">
                  <c:v>0.38300000000000001</c:v>
                </c:pt>
                <c:pt idx="10">
                  <c:v>0.38</c:v>
                </c:pt>
                <c:pt idx="11">
                  <c:v>0.38540000000000002</c:v>
                </c:pt>
                <c:pt idx="12">
                  <c:v>0.38100000000000001</c:v>
                </c:pt>
                <c:pt idx="13">
                  <c:v>0.38080000000000003</c:v>
                </c:pt>
                <c:pt idx="14">
                  <c:v>0.38650000000000001</c:v>
                </c:pt>
                <c:pt idx="15">
                  <c:v>0.38629999999999998</c:v>
                </c:pt>
                <c:pt idx="16">
                  <c:v>0.38619999999999999</c:v>
                </c:pt>
              </c:numCache>
            </c:numRef>
          </c:val>
          <c:smooth val="0"/>
          <c:extLst>
            <c:ext xmlns:c16="http://schemas.microsoft.com/office/drawing/2014/chart" uri="{C3380CC4-5D6E-409C-BE32-E72D297353CC}">
              <c16:uniqueId val="{0000000A-46B4-4974-AB9F-9EA9A3310C70}"/>
            </c:ext>
          </c:extLst>
        </c:ser>
        <c:ser>
          <c:idx val="11"/>
          <c:order val="11"/>
          <c:tx>
            <c:strRef>
              <c:f>TDTA!$AQ$51</c:f>
              <c:strCache>
                <c:ptCount val="1"/>
                <c:pt idx="0">
                  <c:v>BB</c:v>
                </c:pt>
              </c:strCache>
            </c:strRef>
          </c:tx>
          <c:spPr>
            <a:ln w="28575" cap="rnd">
              <a:solidFill>
                <a:srgbClr val="00206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TDTA!$AQ$52:$AQ$68</c:f>
              <c:numCache>
                <c:formatCode>General</c:formatCode>
                <c:ptCount val="17"/>
                <c:pt idx="0">
                  <c:v>0.35210000000000002</c:v>
                </c:pt>
                <c:pt idx="1">
                  <c:v>0.35449999999999998</c:v>
                </c:pt>
                <c:pt idx="2">
                  <c:v>0.36009999999999998</c:v>
                </c:pt>
                <c:pt idx="3">
                  <c:v>0.36670000000000003</c:v>
                </c:pt>
                <c:pt idx="4">
                  <c:v>0.37359999999999999</c:v>
                </c:pt>
                <c:pt idx="5">
                  <c:v>0.37969999999999998</c:v>
                </c:pt>
                <c:pt idx="6">
                  <c:v>0.38919999999999999</c:v>
                </c:pt>
                <c:pt idx="7">
                  <c:v>0.39800000000000002</c:v>
                </c:pt>
                <c:pt idx="8">
                  <c:v>0.41220000000000001</c:v>
                </c:pt>
                <c:pt idx="9">
                  <c:v>0.4128</c:v>
                </c:pt>
                <c:pt idx="10">
                  <c:v>0.40870000000000001</c:v>
                </c:pt>
                <c:pt idx="11">
                  <c:v>0.40720000000000001</c:v>
                </c:pt>
                <c:pt idx="12">
                  <c:v>0.40479999999999999</c:v>
                </c:pt>
                <c:pt idx="13">
                  <c:v>0.40200000000000002</c:v>
                </c:pt>
                <c:pt idx="14">
                  <c:v>0.40250000000000002</c:v>
                </c:pt>
                <c:pt idx="15">
                  <c:v>0.4078</c:v>
                </c:pt>
                <c:pt idx="16">
                  <c:v>0.40379999999999999</c:v>
                </c:pt>
              </c:numCache>
            </c:numRef>
          </c:val>
          <c:smooth val="0"/>
          <c:extLst>
            <c:ext xmlns:c16="http://schemas.microsoft.com/office/drawing/2014/chart" uri="{C3380CC4-5D6E-409C-BE32-E72D297353CC}">
              <c16:uniqueId val="{0000000B-46B4-4974-AB9F-9EA9A3310C70}"/>
            </c:ext>
          </c:extLst>
        </c:ser>
        <c:ser>
          <c:idx val="12"/>
          <c:order val="12"/>
          <c:tx>
            <c:strRef>
              <c:f>TDTA!$AR$51</c:f>
              <c:strCache>
                <c:ptCount val="1"/>
                <c:pt idx="0">
                  <c:v>BB-</c:v>
                </c:pt>
              </c:strCache>
            </c:strRef>
          </c:tx>
          <c:spPr>
            <a:ln w="28575" cap="rnd">
              <a:solidFill>
                <a:srgbClr val="00206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TDTA!$AR$52:$AR$68</c:f>
              <c:numCache>
                <c:formatCode>General</c:formatCode>
                <c:ptCount val="17"/>
                <c:pt idx="0">
                  <c:v>0.38440000000000002</c:v>
                </c:pt>
                <c:pt idx="1">
                  <c:v>0.39040000000000002</c:v>
                </c:pt>
                <c:pt idx="2">
                  <c:v>0.3921</c:v>
                </c:pt>
                <c:pt idx="3">
                  <c:v>0.40029999999999999</c:v>
                </c:pt>
                <c:pt idx="4">
                  <c:v>0.40639999999999998</c:v>
                </c:pt>
                <c:pt idx="5">
                  <c:v>0.4158</c:v>
                </c:pt>
                <c:pt idx="6">
                  <c:v>0.42699999999999999</c:v>
                </c:pt>
                <c:pt idx="7">
                  <c:v>0.43919999999999998</c:v>
                </c:pt>
                <c:pt idx="8">
                  <c:v>0.45469999999999999</c:v>
                </c:pt>
                <c:pt idx="9">
                  <c:v>0.44890000000000002</c:v>
                </c:pt>
                <c:pt idx="10">
                  <c:v>0.4486</c:v>
                </c:pt>
                <c:pt idx="11">
                  <c:v>0.44330000000000003</c:v>
                </c:pt>
                <c:pt idx="12">
                  <c:v>0.43890000000000001</c:v>
                </c:pt>
                <c:pt idx="13">
                  <c:v>0.43859999999999999</c:v>
                </c:pt>
                <c:pt idx="14">
                  <c:v>0.43049999999999999</c:v>
                </c:pt>
                <c:pt idx="15">
                  <c:v>0.43509999999999999</c:v>
                </c:pt>
                <c:pt idx="16">
                  <c:v>0.42220000000000002</c:v>
                </c:pt>
              </c:numCache>
            </c:numRef>
          </c:val>
          <c:smooth val="0"/>
          <c:extLst>
            <c:ext xmlns:c16="http://schemas.microsoft.com/office/drawing/2014/chart" uri="{C3380CC4-5D6E-409C-BE32-E72D297353CC}">
              <c16:uniqueId val="{0000000C-46B4-4974-AB9F-9EA9A3310C70}"/>
            </c:ext>
          </c:extLst>
        </c:ser>
        <c:ser>
          <c:idx val="13"/>
          <c:order val="13"/>
          <c:tx>
            <c:strRef>
              <c:f>TDTA!$AS$51</c:f>
              <c:strCache>
                <c:ptCount val="1"/>
                <c:pt idx="0">
                  <c:v>B+</c:v>
                </c:pt>
              </c:strCache>
            </c:strRef>
          </c:tx>
          <c:spPr>
            <a:ln w="28575" cap="rnd">
              <a:solidFill>
                <a:srgbClr val="92D05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TDTA!$AS$52:$AS$68</c:f>
              <c:numCache>
                <c:formatCode>General</c:formatCode>
                <c:ptCount val="17"/>
                <c:pt idx="0">
                  <c:v>0.44080000000000003</c:v>
                </c:pt>
                <c:pt idx="1">
                  <c:v>0.44779999999999998</c:v>
                </c:pt>
                <c:pt idx="2">
                  <c:v>0.45419999999999999</c:v>
                </c:pt>
                <c:pt idx="3">
                  <c:v>0.46060000000000001</c:v>
                </c:pt>
                <c:pt idx="4">
                  <c:v>0.47</c:v>
                </c:pt>
                <c:pt idx="5">
                  <c:v>0.4819</c:v>
                </c:pt>
                <c:pt idx="6">
                  <c:v>0.4965</c:v>
                </c:pt>
                <c:pt idx="7">
                  <c:v>0.51290000000000002</c:v>
                </c:pt>
                <c:pt idx="8">
                  <c:v>0.53190000000000004</c:v>
                </c:pt>
                <c:pt idx="9">
                  <c:v>0.53029999999999999</c:v>
                </c:pt>
                <c:pt idx="10">
                  <c:v>0.52659999999999996</c:v>
                </c:pt>
                <c:pt idx="11">
                  <c:v>0.51910000000000001</c:v>
                </c:pt>
                <c:pt idx="12">
                  <c:v>0.51600000000000001</c:v>
                </c:pt>
                <c:pt idx="13">
                  <c:v>0.51139999999999997</c:v>
                </c:pt>
                <c:pt idx="14">
                  <c:v>0.50129999999999997</c:v>
                </c:pt>
                <c:pt idx="15">
                  <c:v>0.49590000000000001</c:v>
                </c:pt>
                <c:pt idx="16">
                  <c:v>0.4889</c:v>
                </c:pt>
              </c:numCache>
            </c:numRef>
          </c:val>
          <c:smooth val="0"/>
          <c:extLst>
            <c:ext xmlns:c16="http://schemas.microsoft.com/office/drawing/2014/chart" uri="{C3380CC4-5D6E-409C-BE32-E72D297353CC}">
              <c16:uniqueId val="{0000000D-46B4-4974-AB9F-9EA9A3310C70}"/>
            </c:ext>
          </c:extLst>
        </c:ser>
        <c:ser>
          <c:idx val="14"/>
          <c:order val="14"/>
          <c:tx>
            <c:strRef>
              <c:f>TDTA!$AT$51</c:f>
              <c:strCache>
                <c:ptCount val="1"/>
                <c:pt idx="0">
                  <c:v>B</c:v>
                </c:pt>
              </c:strCache>
            </c:strRef>
          </c:tx>
          <c:spPr>
            <a:ln w="28575" cap="rnd">
              <a:solidFill>
                <a:srgbClr val="92D05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TDTA!$AT$52:$AT$68</c:f>
              <c:numCache>
                <c:formatCode>General</c:formatCode>
                <c:ptCount val="17"/>
                <c:pt idx="0">
                  <c:v>0.45429999999999998</c:v>
                </c:pt>
                <c:pt idx="1">
                  <c:v>0.46879999999999999</c:v>
                </c:pt>
                <c:pt idx="2">
                  <c:v>0.4748</c:v>
                </c:pt>
                <c:pt idx="3">
                  <c:v>0.48499999999999999</c:v>
                </c:pt>
                <c:pt idx="4">
                  <c:v>0.50039999999999996</c:v>
                </c:pt>
                <c:pt idx="5">
                  <c:v>0.51180000000000003</c:v>
                </c:pt>
                <c:pt idx="6">
                  <c:v>0.52270000000000005</c:v>
                </c:pt>
                <c:pt idx="7">
                  <c:v>0.54259999999999997</c:v>
                </c:pt>
                <c:pt idx="8">
                  <c:v>0.55200000000000005</c:v>
                </c:pt>
                <c:pt idx="9">
                  <c:v>0.54800000000000004</c:v>
                </c:pt>
                <c:pt idx="10">
                  <c:v>0.53510000000000002</c:v>
                </c:pt>
                <c:pt idx="11">
                  <c:v>0.52029999999999998</c:v>
                </c:pt>
                <c:pt idx="12">
                  <c:v>0.50470000000000004</c:v>
                </c:pt>
                <c:pt idx="13">
                  <c:v>0.48599999999999999</c:v>
                </c:pt>
                <c:pt idx="14">
                  <c:v>0.47089999999999999</c:v>
                </c:pt>
                <c:pt idx="15">
                  <c:v>0.48089999999999999</c:v>
                </c:pt>
                <c:pt idx="16">
                  <c:v>0.47039999999999998</c:v>
                </c:pt>
              </c:numCache>
            </c:numRef>
          </c:val>
          <c:smooth val="0"/>
          <c:extLst>
            <c:ext xmlns:c16="http://schemas.microsoft.com/office/drawing/2014/chart" uri="{C3380CC4-5D6E-409C-BE32-E72D297353CC}">
              <c16:uniqueId val="{0000000E-46B4-4974-AB9F-9EA9A3310C70}"/>
            </c:ext>
          </c:extLst>
        </c:ser>
        <c:ser>
          <c:idx val="15"/>
          <c:order val="15"/>
          <c:tx>
            <c:strRef>
              <c:f>TDTA!$AU$51</c:f>
              <c:strCache>
                <c:ptCount val="1"/>
                <c:pt idx="0">
                  <c:v>B_-</c:v>
                </c:pt>
              </c:strCache>
            </c:strRef>
          </c:tx>
          <c:spPr>
            <a:ln w="28575" cap="rnd">
              <a:solidFill>
                <a:srgbClr val="92D05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TDTA!$AU$52:$AU$68</c:f>
              <c:numCache>
                <c:formatCode>General</c:formatCode>
                <c:ptCount val="17"/>
                <c:pt idx="0">
                  <c:v>0.47170000000000001</c:v>
                </c:pt>
                <c:pt idx="1">
                  <c:v>0.47410000000000002</c:v>
                </c:pt>
                <c:pt idx="2">
                  <c:v>0.48680000000000001</c:v>
                </c:pt>
                <c:pt idx="3">
                  <c:v>0.5</c:v>
                </c:pt>
                <c:pt idx="4">
                  <c:v>0.51619999999999999</c:v>
                </c:pt>
                <c:pt idx="5">
                  <c:v>0.5323</c:v>
                </c:pt>
                <c:pt idx="6">
                  <c:v>0.55559999999999998</c:v>
                </c:pt>
                <c:pt idx="7">
                  <c:v>0.58899999999999997</c:v>
                </c:pt>
                <c:pt idx="8">
                  <c:v>0.61040000000000005</c:v>
                </c:pt>
                <c:pt idx="9">
                  <c:v>0.58640000000000003</c:v>
                </c:pt>
                <c:pt idx="10">
                  <c:v>0.54479999999999995</c:v>
                </c:pt>
                <c:pt idx="11">
                  <c:v>0.50249999999999995</c:v>
                </c:pt>
                <c:pt idx="12">
                  <c:v>0.48010000000000003</c:v>
                </c:pt>
                <c:pt idx="13">
                  <c:v>0.47799999999999998</c:v>
                </c:pt>
                <c:pt idx="14">
                  <c:v>0.48120000000000002</c:v>
                </c:pt>
                <c:pt idx="15">
                  <c:v>0.46239999999999998</c:v>
                </c:pt>
                <c:pt idx="16">
                  <c:v>0.45910000000000001</c:v>
                </c:pt>
              </c:numCache>
            </c:numRef>
          </c:val>
          <c:smooth val="0"/>
          <c:extLst>
            <c:ext xmlns:c16="http://schemas.microsoft.com/office/drawing/2014/chart" uri="{C3380CC4-5D6E-409C-BE32-E72D297353CC}">
              <c16:uniqueId val="{0000000F-46B4-4974-AB9F-9EA9A3310C70}"/>
            </c:ext>
          </c:extLst>
        </c:ser>
        <c:ser>
          <c:idx val="16"/>
          <c:order val="16"/>
          <c:tx>
            <c:strRef>
              <c:f>TDTA!$AV$51</c:f>
              <c:strCache>
                <c:ptCount val="1"/>
                <c:pt idx="0">
                  <c:v>CCC+</c:v>
                </c:pt>
              </c:strCache>
            </c:strRef>
          </c:tx>
          <c:spPr>
            <a:ln w="28575" cap="rnd">
              <a:solidFill>
                <a:srgbClr val="00B0F0"/>
              </a:solidFill>
              <a:prstDash val="sysDot"/>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TDTA!$AV$52:$AV$68</c:f>
              <c:numCache>
                <c:formatCode>General</c:formatCode>
                <c:ptCount val="17"/>
                <c:pt idx="0">
                  <c:v>0.46</c:v>
                </c:pt>
                <c:pt idx="1">
                  <c:v>0.4768</c:v>
                </c:pt>
                <c:pt idx="2">
                  <c:v>0.49940000000000001</c:v>
                </c:pt>
                <c:pt idx="3">
                  <c:v>0.51160000000000005</c:v>
                </c:pt>
                <c:pt idx="4">
                  <c:v>0.53310000000000002</c:v>
                </c:pt>
                <c:pt idx="5">
                  <c:v>0.54359999999999997</c:v>
                </c:pt>
                <c:pt idx="6">
                  <c:v>0.57140000000000002</c:v>
                </c:pt>
                <c:pt idx="7">
                  <c:v>0.58340000000000003</c:v>
                </c:pt>
                <c:pt idx="8">
                  <c:v>0.56559999999999999</c:v>
                </c:pt>
                <c:pt idx="9">
                  <c:v>0.4647</c:v>
                </c:pt>
                <c:pt idx="10">
                  <c:v>0.42630000000000001</c:v>
                </c:pt>
                <c:pt idx="11">
                  <c:v>0.41770000000000002</c:v>
                </c:pt>
                <c:pt idx="12">
                  <c:v>0.41689999999999999</c:v>
                </c:pt>
                <c:pt idx="13">
                  <c:v>0.42149999999999999</c:v>
                </c:pt>
                <c:pt idx="14">
                  <c:v>0.44540000000000002</c:v>
                </c:pt>
                <c:pt idx="15">
                  <c:v>0.43819999999999998</c:v>
                </c:pt>
                <c:pt idx="16">
                  <c:v>0.43519999999999998</c:v>
                </c:pt>
              </c:numCache>
            </c:numRef>
          </c:val>
          <c:smooth val="0"/>
          <c:extLst>
            <c:ext xmlns:c16="http://schemas.microsoft.com/office/drawing/2014/chart" uri="{C3380CC4-5D6E-409C-BE32-E72D297353CC}">
              <c16:uniqueId val="{00000010-46B4-4974-AB9F-9EA9A3310C70}"/>
            </c:ext>
          </c:extLst>
        </c:ser>
        <c:ser>
          <c:idx val="17"/>
          <c:order val="17"/>
          <c:tx>
            <c:strRef>
              <c:f>TDTA!$AW$51</c:f>
              <c:strCache>
                <c:ptCount val="1"/>
                <c:pt idx="0">
                  <c:v>CCC</c:v>
                </c:pt>
              </c:strCache>
            </c:strRef>
          </c:tx>
          <c:spPr>
            <a:ln w="28575" cap="rnd">
              <a:solidFill>
                <a:srgbClr val="00B0F0"/>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TDTA!$AW$52:$AW$68</c:f>
              <c:numCache>
                <c:formatCode>General</c:formatCode>
                <c:ptCount val="17"/>
                <c:pt idx="0">
                  <c:v>0.47360000000000002</c:v>
                </c:pt>
                <c:pt idx="1">
                  <c:v>0.48039999999999999</c:v>
                </c:pt>
                <c:pt idx="2">
                  <c:v>0.50109999999999999</c:v>
                </c:pt>
                <c:pt idx="3">
                  <c:v>0.51329999999999998</c:v>
                </c:pt>
                <c:pt idx="4">
                  <c:v>0.52729999999999999</c:v>
                </c:pt>
                <c:pt idx="5">
                  <c:v>0.54569999999999996</c:v>
                </c:pt>
                <c:pt idx="6">
                  <c:v>0.56110000000000004</c:v>
                </c:pt>
                <c:pt idx="7">
                  <c:v>0.6089</c:v>
                </c:pt>
                <c:pt idx="8">
                  <c:v>0.4667</c:v>
                </c:pt>
                <c:pt idx="9">
                  <c:v>0.39129999999999998</c:v>
                </c:pt>
                <c:pt idx="10">
                  <c:v>0.3261</c:v>
                </c:pt>
                <c:pt idx="11">
                  <c:v>0.32850000000000001</c:v>
                </c:pt>
                <c:pt idx="12">
                  <c:v>0.33960000000000001</c:v>
                </c:pt>
                <c:pt idx="13">
                  <c:v>0.35070000000000001</c:v>
                </c:pt>
                <c:pt idx="14">
                  <c:v>0.34960000000000002</c:v>
                </c:pt>
                <c:pt idx="15">
                  <c:v>0.3599</c:v>
                </c:pt>
                <c:pt idx="16">
                  <c:v>0.36749999999999999</c:v>
                </c:pt>
              </c:numCache>
            </c:numRef>
          </c:val>
          <c:smooth val="0"/>
          <c:extLst>
            <c:ext xmlns:c16="http://schemas.microsoft.com/office/drawing/2014/chart" uri="{C3380CC4-5D6E-409C-BE32-E72D297353CC}">
              <c16:uniqueId val="{00000011-46B4-4974-AB9F-9EA9A3310C70}"/>
            </c:ext>
          </c:extLst>
        </c:ser>
        <c:ser>
          <c:idx val="18"/>
          <c:order val="18"/>
          <c:tx>
            <c:strRef>
              <c:f>TDTA!$AX$51</c:f>
              <c:strCache>
                <c:ptCount val="1"/>
                <c:pt idx="0">
                  <c:v>CCC-</c:v>
                </c:pt>
              </c:strCache>
            </c:strRef>
          </c:tx>
          <c:spPr>
            <a:ln w="28575" cap="rnd">
              <a:solidFill>
                <a:srgbClr val="00B0F0"/>
              </a:solidFill>
              <a:prstDash val="sysDash"/>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TDTA!$AX$52:$AX$68</c:f>
              <c:numCache>
                <c:formatCode>General</c:formatCode>
                <c:ptCount val="17"/>
                <c:pt idx="0">
                  <c:v>0.52</c:v>
                </c:pt>
                <c:pt idx="1">
                  <c:v>0.5222</c:v>
                </c:pt>
                <c:pt idx="2">
                  <c:v>0.53120000000000001</c:v>
                </c:pt>
                <c:pt idx="3">
                  <c:v>0.54079999999999995</c:v>
                </c:pt>
                <c:pt idx="4">
                  <c:v>0.56369999999999998</c:v>
                </c:pt>
                <c:pt idx="5">
                  <c:v>0.59819999999999995</c:v>
                </c:pt>
                <c:pt idx="6">
                  <c:v>0.62580000000000002</c:v>
                </c:pt>
                <c:pt idx="7">
                  <c:v>0.67249999999999999</c:v>
                </c:pt>
                <c:pt idx="8">
                  <c:v>0.57210000000000005</c:v>
                </c:pt>
                <c:pt idx="9">
                  <c:v>0.4924</c:v>
                </c:pt>
                <c:pt idx="10">
                  <c:v>0.42130000000000001</c:v>
                </c:pt>
                <c:pt idx="11">
                  <c:v>0.44800000000000001</c:v>
                </c:pt>
                <c:pt idx="12">
                  <c:v>0.45760000000000001</c:v>
                </c:pt>
                <c:pt idx="13">
                  <c:v>0.3997</c:v>
                </c:pt>
                <c:pt idx="14">
                  <c:v>0.41310000000000002</c:v>
                </c:pt>
                <c:pt idx="15">
                  <c:v>0.46949999999999997</c:v>
                </c:pt>
                <c:pt idx="16">
                  <c:v>0.42399999999999999</c:v>
                </c:pt>
              </c:numCache>
            </c:numRef>
          </c:val>
          <c:smooth val="0"/>
          <c:extLst>
            <c:ext xmlns:c16="http://schemas.microsoft.com/office/drawing/2014/chart" uri="{C3380CC4-5D6E-409C-BE32-E72D297353CC}">
              <c16:uniqueId val="{00000012-46B4-4974-AB9F-9EA9A3310C70}"/>
            </c:ext>
          </c:extLst>
        </c:ser>
        <c:ser>
          <c:idx val="19"/>
          <c:order val="19"/>
          <c:tx>
            <c:strRef>
              <c:f>TDTA!$AY$51</c:f>
              <c:strCache>
                <c:ptCount val="1"/>
                <c:pt idx="0">
                  <c:v>CC</c:v>
                </c:pt>
              </c:strCache>
            </c:strRef>
          </c:tx>
          <c:spPr>
            <a:ln w="28575" cap="rnd">
              <a:solidFill>
                <a:schemeClr val="accent2">
                  <a:lumMod val="80000"/>
                </a:schemeClr>
              </a:solidFill>
              <a:round/>
            </a:ln>
            <a:effectLst/>
          </c:spPr>
          <c:marker>
            <c:symbol val="none"/>
          </c:marker>
          <c:cat>
            <c:strRef>
              <c:f>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TDTA!$AY$52:$AY$68</c:f>
              <c:numCache>
                <c:formatCode>General</c:formatCode>
                <c:ptCount val="17"/>
                <c:pt idx="0">
                  <c:v>0.51200000000000001</c:v>
                </c:pt>
                <c:pt idx="1">
                  <c:v>0.52470000000000006</c:v>
                </c:pt>
                <c:pt idx="2">
                  <c:v>0.54469999999999996</c:v>
                </c:pt>
                <c:pt idx="3">
                  <c:v>0.56179999999999997</c:v>
                </c:pt>
                <c:pt idx="4">
                  <c:v>0.61280000000000001</c:v>
                </c:pt>
                <c:pt idx="5">
                  <c:v>0.62260000000000004</c:v>
                </c:pt>
                <c:pt idx="6">
                  <c:v>0.64829999999999999</c:v>
                </c:pt>
                <c:pt idx="7">
                  <c:v>0.6784</c:v>
                </c:pt>
                <c:pt idx="8">
                  <c:v>0.47799999999999998</c:v>
                </c:pt>
                <c:pt idx="9">
                  <c:v>0.38229999999999997</c:v>
                </c:pt>
                <c:pt idx="10">
                  <c:v>0.37369999999999998</c:v>
                </c:pt>
                <c:pt idx="11">
                  <c:v>0.3725</c:v>
                </c:pt>
                <c:pt idx="12">
                  <c:v>0.38100000000000001</c:v>
                </c:pt>
                <c:pt idx="13">
                  <c:v>0.3982</c:v>
                </c:pt>
                <c:pt idx="14">
                  <c:v>0.39279999999999998</c:v>
                </c:pt>
                <c:pt idx="15">
                  <c:v>0.41499999999999998</c:v>
                </c:pt>
                <c:pt idx="16">
                  <c:v>0.40529999999999999</c:v>
                </c:pt>
              </c:numCache>
            </c:numRef>
          </c:val>
          <c:smooth val="0"/>
          <c:extLst>
            <c:ext xmlns:c16="http://schemas.microsoft.com/office/drawing/2014/chart" uri="{C3380CC4-5D6E-409C-BE32-E72D297353CC}">
              <c16:uniqueId val="{00000013-46B4-4974-AB9F-9EA9A3310C70}"/>
            </c:ext>
          </c:extLst>
        </c:ser>
        <c:dLbls>
          <c:showLegendKey val="0"/>
          <c:showVal val="0"/>
          <c:showCatName val="0"/>
          <c:showSerName val="0"/>
          <c:showPercent val="0"/>
          <c:showBubbleSize val="0"/>
        </c:dLbls>
        <c:smooth val="0"/>
        <c:axId val="204691008"/>
        <c:axId val="204693752"/>
      </c:lineChart>
      <c:catAx>
        <c:axId val="20469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a:t>
                </a:r>
                <a:r>
                  <a:rPr lang="en-US" baseline="0"/>
                  <a:t> Relative to Ratings Process (Q0)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93752"/>
        <c:crosses val="autoZero"/>
        <c:auto val="1"/>
        <c:lblAlgn val="ctr"/>
        <c:lblOffset val="100"/>
        <c:noMultiLvlLbl val="0"/>
      </c:catAx>
      <c:valAx>
        <c:axId val="20469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9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FF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2a</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Long-Term-Debt-to-Total Assets (LTD/TA) Ratios for Firms with Downgrades by</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Without Prior Credit Watch Placements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LTDTA!$AF$51</c:f>
              <c:strCache>
                <c:ptCount val="1"/>
                <c:pt idx="0">
                  <c:v>AAA</c:v>
                </c:pt>
              </c:strCache>
            </c:strRef>
          </c:tx>
          <c:spPr>
            <a:ln w="28575" cap="rnd">
              <a:solidFill>
                <a:schemeClr val="accent1"/>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LTDTA!$AF$52:$AF$68</c:f>
              <c:numCache>
                <c:formatCode>General</c:formatCode>
                <c:ptCount val="17"/>
                <c:pt idx="0">
                  <c:v>0.19489999999999999</c:v>
                </c:pt>
                <c:pt idx="1">
                  <c:v>0.2135</c:v>
                </c:pt>
                <c:pt idx="2">
                  <c:v>0.21909999999999999</c:v>
                </c:pt>
                <c:pt idx="3">
                  <c:v>0.21490000000000001</c:v>
                </c:pt>
                <c:pt idx="4">
                  <c:v>0.2026</c:v>
                </c:pt>
                <c:pt idx="5">
                  <c:v>0.216</c:v>
                </c:pt>
                <c:pt idx="6">
                  <c:v>0.2175</c:v>
                </c:pt>
                <c:pt idx="7">
                  <c:v>0.22850000000000001</c:v>
                </c:pt>
                <c:pt idx="8">
                  <c:v>0.22520000000000001</c:v>
                </c:pt>
                <c:pt idx="9">
                  <c:v>0.27450000000000002</c:v>
                </c:pt>
                <c:pt idx="10">
                  <c:v>0.2656</c:v>
                </c:pt>
                <c:pt idx="11">
                  <c:v>0.28299999999999997</c:v>
                </c:pt>
                <c:pt idx="12">
                  <c:v>0.26790000000000003</c:v>
                </c:pt>
                <c:pt idx="13">
                  <c:v>0.27789999999999998</c:v>
                </c:pt>
                <c:pt idx="14">
                  <c:v>0.27639999999999998</c:v>
                </c:pt>
                <c:pt idx="15">
                  <c:v>0.2586</c:v>
                </c:pt>
                <c:pt idx="16">
                  <c:v>0.27410000000000001</c:v>
                </c:pt>
              </c:numCache>
            </c:numRef>
          </c:val>
          <c:smooth val="0"/>
          <c:extLst>
            <c:ext xmlns:c16="http://schemas.microsoft.com/office/drawing/2014/chart" uri="{C3380CC4-5D6E-409C-BE32-E72D297353CC}">
              <c16:uniqueId val="{00000000-3206-402A-A8DF-4DE841DFC68A}"/>
            </c:ext>
          </c:extLst>
        </c:ser>
        <c:ser>
          <c:idx val="1"/>
          <c:order val="1"/>
          <c:tx>
            <c:strRef>
              <c:f>LTDTA!$AG$51</c:f>
              <c:strCache>
                <c:ptCount val="1"/>
                <c:pt idx="0">
                  <c:v>AA+</c:v>
                </c:pt>
              </c:strCache>
            </c:strRef>
          </c:tx>
          <c:spPr>
            <a:ln w="28575" cap="rnd">
              <a:solidFill>
                <a:srgbClr val="C0000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LTDTA!$AG$52:$AG$68</c:f>
              <c:numCache>
                <c:formatCode>General</c:formatCode>
                <c:ptCount val="17"/>
                <c:pt idx="0">
                  <c:v>0.18260000000000001</c:v>
                </c:pt>
                <c:pt idx="1">
                  <c:v>0.18479999999999999</c:v>
                </c:pt>
                <c:pt idx="2">
                  <c:v>0.19170000000000001</c:v>
                </c:pt>
                <c:pt idx="3">
                  <c:v>0.18099999999999999</c:v>
                </c:pt>
                <c:pt idx="4">
                  <c:v>0.19259999999999999</c:v>
                </c:pt>
                <c:pt idx="5">
                  <c:v>0.19339999999999999</c:v>
                </c:pt>
                <c:pt idx="6">
                  <c:v>0.20250000000000001</c:v>
                </c:pt>
                <c:pt idx="7">
                  <c:v>0.18909999999999999</c:v>
                </c:pt>
                <c:pt idx="8">
                  <c:v>0.20449999999999999</c:v>
                </c:pt>
                <c:pt idx="9">
                  <c:v>0.21609999999999999</c:v>
                </c:pt>
                <c:pt idx="10">
                  <c:v>0.2145</c:v>
                </c:pt>
                <c:pt idx="11">
                  <c:v>0.2021</c:v>
                </c:pt>
                <c:pt idx="12">
                  <c:v>0.20280000000000001</c:v>
                </c:pt>
                <c:pt idx="13">
                  <c:v>0.23119999999999999</c:v>
                </c:pt>
                <c:pt idx="14">
                  <c:v>0.22070000000000001</c:v>
                </c:pt>
                <c:pt idx="15">
                  <c:v>0.2084</c:v>
                </c:pt>
                <c:pt idx="16">
                  <c:v>0.19869999999999999</c:v>
                </c:pt>
              </c:numCache>
            </c:numRef>
          </c:val>
          <c:smooth val="0"/>
          <c:extLst>
            <c:ext xmlns:c16="http://schemas.microsoft.com/office/drawing/2014/chart" uri="{C3380CC4-5D6E-409C-BE32-E72D297353CC}">
              <c16:uniqueId val="{00000001-3206-402A-A8DF-4DE841DFC68A}"/>
            </c:ext>
          </c:extLst>
        </c:ser>
        <c:ser>
          <c:idx val="2"/>
          <c:order val="2"/>
          <c:tx>
            <c:strRef>
              <c:f>LTDTA!$AH$51</c:f>
              <c:strCache>
                <c:ptCount val="1"/>
                <c:pt idx="0">
                  <c:v>AA</c:v>
                </c:pt>
              </c:strCache>
            </c:strRef>
          </c:tx>
          <c:spPr>
            <a:ln w="28575" cap="rnd">
              <a:solidFill>
                <a:srgbClr val="C0000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LTDTA!$AH$52:$AH$68</c:f>
              <c:numCache>
                <c:formatCode>General</c:formatCode>
                <c:ptCount val="17"/>
                <c:pt idx="0">
                  <c:v>0.1699</c:v>
                </c:pt>
                <c:pt idx="1">
                  <c:v>0.1744</c:v>
                </c:pt>
                <c:pt idx="2">
                  <c:v>0.17599999999999999</c:v>
                </c:pt>
                <c:pt idx="3">
                  <c:v>0.1794</c:v>
                </c:pt>
                <c:pt idx="4">
                  <c:v>0.17829999999999999</c:v>
                </c:pt>
                <c:pt idx="5">
                  <c:v>0.18179999999999999</c:v>
                </c:pt>
                <c:pt idx="6">
                  <c:v>0.1807</c:v>
                </c:pt>
                <c:pt idx="7">
                  <c:v>0.18379999999999999</c:v>
                </c:pt>
                <c:pt idx="8">
                  <c:v>0.188</c:v>
                </c:pt>
                <c:pt idx="9">
                  <c:v>0.19919999999999999</c:v>
                </c:pt>
                <c:pt idx="10">
                  <c:v>0.1971</c:v>
                </c:pt>
                <c:pt idx="11">
                  <c:v>0.19789999999999999</c:v>
                </c:pt>
                <c:pt idx="12">
                  <c:v>0.1895</c:v>
                </c:pt>
                <c:pt idx="13">
                  <c:v>0.19550000000000001</c:v>
                </c:pt>
                <c:pt idx="14">
                  <c:v>0.19750000000000001</c:v>
                </c:pt>
                <c:pt idx="15">
                  <c:v>0.19500000000000001</c:v>
                </c:pt>
                <c:pt idx="16">
                  <c:v>0.18920000000000001</c:v>
                </c:pt>
              </c:numCache>
            </c:numRef>
          </c:val>
          <c:smooth val="0"/>
          <c:extLst>
            <c:ext xmlns:c16="http://schemas.microsoft.com/office/drawing/2014/chart" uri="{C3380CC4-5D6E-409C-BE32-E72D297353CC}">
              <c16:uniqueId val="{00000002-3206-402A-A8DF-4DE841DFC68A}"/>
            </c:ext>
          </c:extLst>
        </c:ser>
        <c:ser>
          <c:idx val="3"/>
          <c:order val="3"/>
          <c:tx>
            <c:strRef>
              <c:f>LTDTA!$AI$51</c:f>
              <c:strCache>
                <c:ptCount val="1"/>
                <c:pt idx="0">
                  <c:v>AA-</c:v>
                </c:pt>
              </c:strCache>
            </c:strRef>
          </c:tx>
          <c:spPr>
            <a:ln w="28575" cap="rnd">
              <a:solidFill>
                <a:srgbClr val="C0000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LTDTA!$AI$52:$AI$68</c:f>
              <c:numCache>
                <c:formatCode>General</c:formatCode>
                <c:ptCount val="17"/>
                <c:pt idx="0">
                  <c:v>0.2006</c:v>
                </c:pt>
                <c:pt idx="1">
                  <c:v>0.20250000000000001</c:v>
                </c:pt>
                <c:pt idx="2">
                  <c:v>0.1966</c:v>
                </c:pt>
                <c:pt idx="3">
                  <c:v>0.19420000000000001</c:v>
                </c:pt>
                <c:pt idx="4">
                  <c:v>0.20119999999999999</c:v>
                </c:pt>
                <c:pt idx="5">
                  <c:v>0.2021</c:v>
                </c:pt>
                <c:pt idx="6">
                  <c:v>0.19819999999999999</c:v>
                </c:pt>
                <c:pt idx="7">
                  <c:v>0.19639999999999999</c:v>
                </c:pt>
                <c:pt idx="8">
                  <c:v>0.2162</c:v>
                </c:pt>
                <c:pt idx="9">
                  <c:v>0.21840000000000001</c:v>
                </c:pt>
                <c:pt idx="10">
                  <c:v>0.21829999999999999</c:v>
                </c:pt>
                <c:pt idx="11">
                  <c:v>0.21629999999999999</c:v>
                </c:pt>
                <c:pt idx="12">
                  <c:v>0.2155</c:v>
                </c:pt>
                <c:pt idx="13">
                  <c:v>0.2177</c:v>
                </c:pt>
                <c:pt idx="14">
                  <c:v>0.21299999999999999</c:v>
                </c:pt>
                <c:pt idx="15">
                  <c:v>0.20449999999999999</c:v>
                </c:pt>
                <c:pt idx="16">
                  <c:v>0.21560000000000001</c:v>
                </c:pt>
              </c:numCache>
            </c:numRef>
          </c:val>
          <c:smooth val="0"/>
          <c:extLst>
            <c:ext xmlns:c16="http://schemas.microsoft.com/office/drawing/2014/chart" uri="{C3380CC4-5D6E-409C-BE32-E72D297353CC}">
              <c16:uniqueId val="{00000003-3206-402A-A8DF-4DE841DFC68A}"/>
            </c:ext>
          </c:extLst>
        </c:ser>
        <c:ser>
          <c:idx val="4"/>
          <c:order val="4"/>
          <c:tx>
            <c:strRef>
              <c:f>LTDTA!$AJ$51</c:f>
              <c:strCache>
                <c:ptCount val="1"/>
                <c:pt idx="0">
                  <c:v>A+</c:v>
                </c:pt>
              </c:strCache>
            </c:strRef>
          </c:tx>
          <c:spPr>
            <a:ln w="28575" cap="rnd">
              <a:solidFill>
                <a:srgbClr val="7030A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LTDTA!$AJ$52:$AJ$68</c:f>
              <c:numCache>
                <c:formatCode>General</c:formatCode>
                <c:ptCount val="17"/>
                <c:pt idx="0">
                  <c:v>0.1973</c:v>
                </c:pt>
                <c:pt idx="1">
                  <c:v>0.2011</c:v>
                </c:pt>
                <c:pt idx="2">
                  <c:v>0.19789999999999999</c:v>
                </c:pt>
                <c:pt idx="3">
                  <c:v>0.2029</c:v>
                </c:pt>
                <c:pt idx="4">
                  <c:v>0.2014</c:v>
                </c:pt>
                <c:pt idx="5">
                  <c:v>0.20380000000000001</c:v>
                </c:pt>
                <c:pt idx="6">
                  <c:v>0.20230000000000001</c:v>
                </c:pt>
                <c:pt idx="7">
                  <c:v>0.2112</c:v>
                </c:pt>
                <c:pt idx="8">
                  <c:v>0.22270000000000001</c:v>
                </c:pt>
                <c:pt idx="9">
                  <c:v>0.22459999999999999</c:v>
                </c:pt>
                <c:pt idx="10">
                  <c:v>0.2215</c:v>
                </c:pt>
                <c:pt idx="11">
                  <c:v>0.23050000000000001</c:v>
                </c:pt>
                <c:pt idx="12">
                  <c:v>0.2281</c:v>
                </c:pt>
                <c:pt idx="13">
                  <c:v>0.22919999999999999</c:v>
                </c:pt>
                <c:pt idx="14">
                  <c:v>0.22459999999999999</c:v>
                </c:pt>
                <c:pt idx="15">
                  <c:v>0.22689999999999999</c:v>
                </c:pt>
                <c:pt idx="16">
                  <c:v>0.22919999999999999</c:v>
                </c:pt>
              </c:numCache>
            </c:numRef>
          </c:val>
          <c:smooth val="0"/>
          <c:extLst>
            <c:ext xmlns:c16="http://schemas.microsoft.com/office/drawing/2014/chart" uri="{C3380CC4-5D6E-409C-BE32-E72D297353CC}">
              <c16:uniqueId val="{00000004-3206-402A-A8DF-4DE841DFC68A}"/>
            </c:ext>
          </c:extLst>
        </c:ser>
        <c:ser>
          <c:idx val="5"/>
          <c:order val="5"/>
          <c:tx>
            <c:strRef>
              <c:f>LTDTA!$AK$51</c:f>
              <c:strCache>
                <c:ptCount val="1"/>
                <c:pt idx="0">
                  <c:v>A</c:v>
                </c:pt>
              </c:strCache>
            </c:strRef>
          </c:tx>
          <c:spPr>
            <a:ln w="28575" cap="rnd">
              <a:solidFill>
                <a:srgbClr val="7030A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LTDTA!$AK$52:$AK$68</c:f>
              <c:numCache>
                <c:formatCode>General</c:formatCode>
                <c:ptCount val="17"/>
                <c:pt idx="0">
                  <c:v>0.20979999999999999</c:v>
                </c:pt>
                <c:pt idx="1">
                  <c:v>0.2157</c:v>
                </c:pt>
                <c:pt idx="2">
                  <c:v>0.21410000000000001</c:v>
                </c:pt>
                <c:pt idx="3">
                  <c:v>0.21199999999999999</c:v>
                </c:pt>
                <c:pt idx="4">
                  <c:v>0.21310000000000001</c:v>
                </c:pt>
                <c:pt idx="5">
                  <c:v>0.21829999999999999</c:v>
                </c:pt>
                <c:pt idx="6">
                  <c:v>0.22189999999999999</c:v>
                </c:pt>
                <c:pt idx="7">
                  <c:v>0.2213</c:v>
                </c:pt>
                <c:pt idx="8">
                  <c:v>0.23319999999999999</c:v>
                </c:pt>
                <c:pt idx="9">
                  <c:v>0.2407</c:v>
                </c:pt>
                <c:pt idx="10">
                  <c:v>0.2427</c:v>
                </c:pt>
                <c:pt idx="11">
                  <c:v>0.23760000000000001</c:v>
                </c:pt>
                <c:pt idx="12">
                  <c:v>0.24030000000000001</c:v>
                </c:pt>
                <c:pt idx="13">
                  <c:v>0.23830000000000001</c:v>
                </c:pt>
                <c:pt idx="14">
                  <c:v>0.23569999999999999</c:v>
                </c:pt>
                <c:pt idx="15">
                  <c:v>0.2374</c:v>
                </c:pt>
                <c:pt idx="16">
                  <c:v>0.23569999999999999</c:v>
                </c:pt>
              </c:numCache>
            </c:numRef>
          </c:val>
          <c:smooth val="0"/>
          <c:extLst>
            <c:ext xmlns:c16="http://schemas.microsoft.com/office/drawing/2014/chart" uri="{C3380CC4-5D6E-409C-BE32-E72D297353CC}">
              <c16:uniqueId val="{00000005-3206-402A-A8DF-4DE841DFC68A}"/>
            </c:ext>
          </c:extLst>
        </c:ser>
        <c:ser>
          <c:idx val="6"/>
          <c:order val="6"/>
          <c:tx>
            <c:strRef>
              <c:f>LTDTA!$AL$51</c:f>
              <c:strCache>
                <c:ptCount val="1"/>
                <c:pt idx="0">
                  <c:v>A-</c:v>
                </c:pt>
              </c:strCache>
            </c:strRef>
          </c:tx>
          <c:spPr>
            <a:ln w="28575" cap="rnd">
              <a:solidFill>
                <a:srgbClr val="7030A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LTDTA!$AL$52:$AL$68</c:f>
              <c:numCache>
                <c:formatCode>General</c:formatCode>
                <c:ptCount val="17"/>
                <c:pt idx="0">
                  <c:v>0.2253</c:v>
                </c:pt>
                <c:pt idx="1">
                  <c:v>0.22720000000000001</c:v>
                </c:pt>
                <c:pt idx="2">
                  <c:v>0.22470000000000001</c:v>
                </c:pt>
                <c:pt idx="3">
                  <c:v>0.22600000000000001</c:v>
                </c:pt>
                <c:pt idx="4">
                  <c:v>0.22670000000000001</c:v>
                </c:pt>
                <c:pt idx="5">
                  <c:v>0.2286</c:v>
                </c:pt>
                <c:pt idx="6">
                  <c:v>0.22819999999999999</c:v>
                </c:pt>
                <c:pt idx="7">
                  <c:v>0.2311</c:v>
                </c:pt>
                <c:pt idx="8">
                  <c:v>0.24349999999999999</c:v>
                </c:pt>
                <c:pt idx="9">
                  <c:v>0.24540000000000001</c:v>
                </c:pt>
                <c:pt idx="10">
                  <c:v>0.24929999999999999</c:v>
                </c:pt>
                <c:pt idx="11">
                  <c:v>0.24979999999999999</c:v>
                </c:pt>
                <c:pt idx="12">
                  <c:v>0.25030000000000002</c:v>
                </c:pt>
                <c:pt idx="13">
                  <c:v>0.25109999999999999</c:v>
                </c:pt>
                <c:pt idx="14">
                  <c:v>0.25130000000000002</c:v>
                </c:pt>
                <c:pt idx="15">
                  <c:v>0.25080000000000002</c:v>
                </c:pt>
                <c:pt idx="16">
                  <c:v>0.25259999999999999</c:v>
                </c:pt>
              </c:numCache>
            </c:numRef>
          </c:val>
          <c:smooth val="0"/>
          <c:extLst>
            <c:ext xmlns:c16="http://schemas.microsoft.com/office/drawing/2014/chart" uri="{C3380CC4-5D6E-409C-BE32-E72D297353CC}">
              <c16:uniqueId val="{00000006-3206-402A-A8DF-4DE841DFC68A}"/>
            </c:ext>
          </c:extLst>
        </c:ser>
        <c:ser>
          <c:idx val="7"/>
          <c:order val="7"/>
          <c:tx>
            <c:strRef>
              <c:f>LTDTA!$AM$51</c:f>
              <c:strCache>
                <c:ptCount val="1"/>
                <c:pt idx="0">
                  <c:v>BBB+</c:v>
                </c:pt>
              </c:strCache>
            </c:strRef>
          </c:tx>
          <c:spPr>
            <a:ln w="28575" cap="rnd">
              <a:solidFill>
                <a:srgbClr val="FFC00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LTDTA!$AM$52:$AM$68</c:f>
              <c:numCache>
                <c:formatCode>General</c:formatCode>
                <c:ptCount val="17"/>
                <c:pt idx="0">
                  <c:v>0.249</c:v>
                </c:pt>
                <c:pt idx="1">
                  <c:v>0.2505</c:v>
                </c:pt>
                <c:pt idx="2">
                  <c:v>0.25119999999999998</c:v>
                </c:pt>
                <c:pt idx="3">
                  <c:v>0.25340000000000001</c:v>
                </c:pt>
                <c:pt idx="4">
                  <c:v>0.2571</c:v>
                </c:pt>
                <c:pt idx="5">
                  <c:v>0.26140000000000002</c:v>
                </c:pt>
                <c:pt idx="6">
                  <c:v>0.26329999999999998</c:v>
                </c:pt>
                <c:pt idx="7">
                  <c:v>0.2646</c:v>
                </c:pt>
                <c:pt idx="8">
                  <c:v>0.28139999999999998</c:v>
                </c:pt>
                <c:pt idx="9">
                  <c:v>0.28389999999999999</c:v>
                </c:pt>
                <c:pt idx="10">
                  <c:v>0.27689999999999998</c:v>
                </c:pt>
                <c:pt idx="11">
                  <c:v>0.27579999999999999</c:v>
                </c:pt>
                <c:pt idx="12">
                  <c:v>0.2833</c:v>
                </c:pt>
                <c:pt idx="13">
                  <c:v>0.27960000000000002</c:v>
                </c:pt>
                <c:pt idx="14">
                  <c:v>0.27660000000000001</c:v>
                </c:pt>
                <c:pt idx="15">
                  <c:v>0.27639999999999998</c:v>
                </c:pt>
                <c:pt idx="16">
                  <c:v>0.27550000000000002</c:v>
                </c:pt>
              </c:numCache>
            </c:numRef>
          </c:val>
          <c:smooth val="0"/>
          <c:extLst>
            <c:ext xmlns:c16="http://schemas.microsoft.com/office/drawing/2014/chart" uri="{C3380CC4-5D6E-409C-BE32-E72D297353CC}">
              <c16:uniqueId val="{00000007-3206-402A-A8DF-4DE841DFC68A}"/>
            </c:ext>
          </c:extLst>
        </c:ser>
        <c:ser>
          <c:idx val="8"/>
          <c:order val="8"/>
          <c:tx>
            <c:strRef>
              <c:f>LTDTA!$AN$51</c:f>
              <c:strCache>
                <c:ptCount val="1"/>
                <c:pt idx="0">
                  <c:v>BBB</c:v>
                </c:pt>
              </c:strCache>
            </c:strRef>
          </c:tx>
          <c:spPr>
            <a:ln w="28575" cap="rnd">
              <a:solidFill>
                <a:srgbClr val="FFC00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LTDTA!$AN$52:$AN$68</c:f>
              <c:numCache>
                <c:formatCode>General</c:formatCode>
                <c:ptCount val="17"/>
                <c:pt idx="0">
                  <c:v>0.26279999999999998</c:v>
                </c:pt>
                <c:pt idx="1">
                  <c:v>0.26829999999999998</c:v>
                </c:pt>
                <c:pt idx="2">
                  <c:v>0.27400000000000002</c:v>
                </c:pt>
                <c:pt idx="3">
                  <c:v>0.27889999999999998</c:v>
                </c:pt>
                <c:pt idx="4">
                  <c:v>0.2823</c:v>
                </c:pt>
                <c:pt idx="5">
                  <c:v>0.28210000000000002</c:v>
                </c:pt>
                <c:pt idx="6">
                  <c:v>0.28810000000000002</c:v>
                </c:pt>
                <c:pt idx="7">
                  <c:v>0.2873</c:v>
                </c:pt>
                <c:pt idx="8">
                  <c:v>0.30499999999999999</c:v>
                </c:pt>
                <c:pt idx="9">
                  <c:v>0.30630000000000002</c:v>
                </c:pt>
                <c:pt idx="10">
                  <c:v>0.30509999999999998</c:v>
                </c:pt>
                <c:pt idx="11">
                  <c:v>0.30590000000000001</c:v>
                </c:pt>
                <c:pt idx="12">
                  <c:v>0.30120000000000002</c:v>
                </c:pt>
                <c:pt idx="13">
                  <c:v>0.30159999999999998</c:v>
                </c:pt>
                <c:pt idx="14">
                  <c:v>0.2984</c:v>
                </c:pt>
                <c:pt idx="15">
                  <c:v>0.29699999999999999</c:v>
                </c:pt>
                <c:pt idx="16">
                  <c:v>0.29399999999999998</c:v>
                </c:pt>
              </c:numCache>
            </c:numRef>
          </c:val>
          <c:smooth val="0"/>
          <c:extLst>
            <c:ext xmlns:c16="http://schemas.microsoft.com/office/drawing/2014/chart" uri="{C3380CC4-5D6E-409C-BE32-E72D297353CC}">
              <c16:uniqueId val="{00000008-3206-402A-A8DF-4DE841DFC68A}"/>
            </c:ext>
          </c:extLst>
        </c:ser>
        <c:ser>
          <c:idx val="9"/>
          <c:order val="9"/>
          <c:tx>
            <c:strRef>
              <c:f>LTDTA!$AO$51</c:f>
              <c:strCache>
                <c:ptCount val="1"/>
                <c:pt idx="0">
                  <c:v>BBB-</c:v>
                </c:pt>
              </c:strCache>
            </c:strRef>
          </c:tx>
          <c:spPr>
            <a:ln w="28575" cap="rnd">
              <a:solidFill>
                <a:srgbClr val="FFC00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LTDTA!$AO$52:$AO$68</c:f>
              <c:numCache>
                <c:formatCode>General</c:formatCode>
                <c:ptCount val="17"/>
                <c:pt idx="0">
                  <c:v>0.2611</c:v>
                </c:pt>
                <c:pt idx="1">
                  <c:v>0.2676</c:v>
                </c:pt>
                <c:pt idx="2">
                  <c:v>0.26929999999999998</c:v>
                </c:pt>
                <c:pt idx="3">
                  <c:v>0.27760000000000001</c:v>
                </c:pt>
                <c:pt idx="4">
                  <c:v>0.28349999999999997</c:v>
                </c:pt>
                <c:pt idx="5">
                  <c:v>0.28770000000000001</c:v>
                </c:pt>
                <c:pt idx="6">
                  <c:v>0.29099999999999998</c:v>
                </c:pt>
                <c:pt idx="7">
                  <c:v>0.29330000000000001</c:v>
                </c:pt>
                <c:pt idx="8">
                  <c:v>0.3034</c:v>
                </c:pt>
                <c:pt idx="9">
                  <c:v>0.30990000000000001</c:v>
                </c:pt>
                <c:pt idx="10">
                  <c:v>0.30359999999999998</c:v>
                </c:pt>
                <c:pt idx="11">
                  <c:v>0.30549999999999999</c:v>
                </c:pt>
                <c:pt idx="12">
                  <c:v>0.30580000000000002</c:v>
                </c:pt>
                <c:pt idx="13">
                  <c:v>0.30690000000000001</c:v>
                </c:pt>
                <c:pt idx="14">
                  <c:v>0.30690000000000001</c:v>
                </c:pt>
                <c:pt idx="15">
                  <c:v>0.3085</c:v>
                </c:pt>
                <c:pt idx="16">
                  <c:v>0.31859999999999999</c:v>
                </c:pt>
              </c:numCache>
            </c:numRef>
          </c:val>
          <c:smooth val="0"/>
          <c:extLst>
            <c:ext xmlns:c16="http://schemas.microsoft.com/office/drawing/2014/chart" uri="{C3380CC4-5D6E-409C-BE32-E72D297353CC}">
              <c16:uniqueId val="{00000009-3206-402A-A8DF-4DE841DFC68A}"/>
            </c:ext>
          </c:extLst>
        </c:ser>
        <c:ser>
          <c:idx val="10"/>
          <c:order val="10"/>
          <c:tx>
            <c:strRef>
              <c:f>LTDTA!$AP$51</c:f>
              <c:strCache>
                <c:ptCount val="1"/>
                <c:pt idx="0">
                  <c:v>BB+</c:v>
                </c:pt>
              </c:strCache>
            </c:strRef>
          </c:tx>
          <c:spPr>
            <a:ln w="28575" cap="rnd">
              <a:solidFill>
                <a:srgbClr val="00206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LTDTA!$AP$52:$AP$68</c:f>
              <c:numCache>
                <c:formatCode>General</c:formatCode>
                <c:ptCount val="17"/>
                <c:pt idx="0">
                  <c:v>0.29759999999999998</c:v>
                </c:pt>
                <c:pt idx="1">
                  <c:v>0.29949999999999999</c:v>
                </c:pt>
                <c:pt idx="2">
                  <c:v>0.30030000000000001</c:v>
                </c:pt>
                <c:pt idx="3">
                  <c:v>0.3095</c:v>
                </c:pt>
                <c:pt idx="4">
                  <c:v>0.31330000000000002</c:v>
                </c:pt>
                <c:pt idx="5">
                  <c:v>0.31269999999999998</c:v>
                </c:pt>
                <c:pt idx="6">
                  <c:v>0.3135</c:v>
                </c:pt>
                <c:pt idx="7">
                  <c:v>0.32269999999999999</c:v>
                </c:pt>
                <c:pt idx="8">
                  <c:v>0.3372</c:v>
                </c:pt>
                <c:pt idx="9">
                  <c:v>0.34320000000000001</c:v>
                </c:pt>
                <c:pt idx="10">
                  <c:v>0.34050000000000002</c:v>
                </c:pt>
                <c:pt idx="11">
                  <c:v>0.33839999999999998</c:v>
                </c:pt>
                <c:pt idx="12">
                  <c:v>0.34489999999999998</c:v>
                </c:pt>
                <c:pt idx="13">
                  <c:v>0.34860000000000002</c:v>
                </c:pt>
                <c:pt idx="14">
                  <c:v>0.35049999999999998</c:v>
                </c:pt>
                <c:pt idx="15">
                  <c:v>0.35220000000000001</c:v>
                </c:pt>
                <c:pt idx="16">
                  <c:v>0.3528</c:v>
                </c:pt>
              </c:numCache>
            </c:numRef>
          </c:val>
          <c:smooth val="0"/>
          <c:extLst>
            <c:ext xmlns:c16="http://schemas.microsoft.com/office/drawing/2014/chart" uri="{C3380CC4-5D6E-409C-BE32-E72D297353CC}">
              <c16:uniqueId val="{0000000A-3206-402A-A8DF-4DE841DFC68A}"/>
            </c:ext>
          </c:extLst>
        </c:ser>
        <c:ser>
          <c:idx val="11"/>
          <c:order val="11"/>
          <c:tx>
            <c:strRef>
              <c:f>LTDTA!$AQ$51</c:f>
              <c:strCache>
                <c:ptCount val="1"/>
                <c:pt idx="0">
                  <c:v>BB</c:v>
                </c:pt>
              </c:strCache>
            </c:strRef>
          </c:tx>
          <c:spPr>
            <a:ln w="28575" cap="rnd">
              <a:solidFill>
                <a:srgbClr val="00206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LTDTA!$AQ$52:$AQ$68</c:f>
              <c:numCache>
                <c:formatCode>General</c:formatCode>
                <c:ptCount val="17"/>
                <c:pt idx="0">
                  <c:v>0.34260000000000002</c:v>
                </c:pt>
                <c:pt idx="1">
                  <c:v>0.34510000000000002</c:v>
                </c:pt>
                <c:pt idx="2">
                  <c:v>0.35320000000000001</c:v>
                </c:pt>
                <c:pt idx="3">
                  <c:v>0.35909999999999997</c:v>
                </c:pt>
                <c:pt idx="4">
                  <c:v>0.36409999999999998</c:v>
                </c:pt>
                <c:pt idx="5">
                  <c:v>0.3705</c:v>
                </c:pt>
                <c:pt idx="6">
                  <c:v>0.37859999999999999</c:v>
                </c:pt>
                <c:pt idx="7">
                  <c:v>0.38030000000000003</c:v>
                </c:pt>
                <c:pt idx="8">
                  <c:v>0.38300000000000001</c:v>
                </c:pt>
                <c:pt idx="9">
                  <c:v>0.38319999999999999</c:v>
                </c:pt>
                <c:pt idx="10">
                  <c:v>0.37890000000000001</c:v>
                </c:pt>
                <c:pt idx="11">
                  <c:v>0.38150000000000001</c:v>
                </c:pt>
                <c:pt idx="12">
                  <c:v>0.37980000000000003</c:v>
                </c:pt>
                <c:pt idx="13">
                  <c:v>0.37340000000000001</c:v>
                </c:pt>
                <c:pt idx="14">
                  <c:v>0.37140000000000001</c:v>
                </c:pt>
                <c:pt idx="15">
                  <c:v>0.38109999999999999</c:v>
                </c:pt>
                <c:pt idx="16">
                  <c:v>0.37590000000000001</c:v>
                </c:pt>
              </c:numCache>
            </c:numRef>
          </c:val>
          <c:smooth val="0"/>
          <c:extLst>
            <c:ext xmlns:c16="http://schemas.microsoft.com/office/drawing/2014/chart" uri="{C3380CC4-5D6E-409C-BE32-E72D297353CC}">
              <c16:uniqueId val="{0000000B-3206-402A-A8DF-4DE841DFC68A}"/>
            </c:ext>
          </c:extLst>
        </c:ser>
        <c:ser>
          <c:idx val="12"/>
          <c:order val="12"/>
          <c:tx>
            <c:strRef>
              <c:f>LTDTA!$AR$51</c:f>
              <c:strCache>
                <c:ptCount val="1"/>
                <c:pt idx="0">
                  <c:v>BB-</c:v>
                </c:pt>
              </c:strCache>
            </c:strRef>
          </c:tx>
          <c:spPr>
            <a:ln w="28575" cap="rnd">
              <a:solidFill>
                <a:srgbClr val="00206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LTDTA!$AR$52:$AR$68</c:f>
              <c:numCache>
                <c:formatCode>General</c:formatCode>
                <c:ptCount val="17"/>
                <c:pt idx="0">
                  <c:v>0.35809999999999997</c:v>
                </c:pt>
                <c:pt idx="1">
                  <c:v>0.36299999999999999</c:v>
                </c:pt>
                <c:pt idx="2">
                  <c:v>0.36720000000000003</c:v>
                </c:pt>
                <c:pt idx="3">
                  <c:v>0.37209999999999999</c:v>
                </c:pt>
                <c:pt idx="4">
                  <c:v>0.37590000000000001</c:v>
                </c:pt>
                <c:pt idx="5">
                  <c:v>0.38440000000000002</c:v>
                </c:pt>
                <c:pt idx="6">
                  <c:v>0.39419999999999999</c:v>
                </c:pt>
                <c:pt idx="7">
                  <c:v>0.40039999999999998</c:v>
                </c:pt>
                <c:pt idx="8">
                  <c:v>0.40110000000000001</c:v>
                </c:pt>
                <c:pt idx="9">
                  <c:v>0.40489999999999998</c:v>
                </c:pt>
                <c:pt idx="10">
                  <c:v>0.40150000000000002</c:v>
                </c:pt>
                <c:pt idx="11">
                  <c:v>0.39800000000000002</c:v>
                </c:pt>
                <c:pt idx="12">
                  <c:v>0.39250000000000002</c:v>
                </c:pt>
                <c:pt idx="13">
                  <c:v>0.40100000000000002</c:v>
                </c:pt>
                <c:pt idx="14">
                  <c:v>0.39450000000000002</c:v>
                </c:pt>
                <c:pt idx="15">
                  <c:v>0.39250000000000002</c:v>
                </c:pt>
                <c:pt idx="16">
                  <c:v>0.38390000000000002</c:v>
                </c:pt>
              </c:numCache>
            </c:numRef>
          </c:val>
          <c:smooth val="0"/>
          <c:extLst>
            <c:ext xmlns:c16="http://schemas.microsoft.com/office/drawing/2014/chart" uri="{C3380CC4-5D6E-409C-BE32-E72D297353CC}">
              <c16:uniqueId val="{0000000C-3206-402A-A8DF-4DE841DFC68A}"/>
            </c:ext>
          </c:extLst>
        </c:ser>
        <c:ser>
          <c:idx val="13"/>
          <c:order val="13"/>
          <c:tx>
            <c:strRef>
              <c:f>LTDTA!$AS$51</c:f>
              <c:strCache>
                <c:ptCount val="1"/>
                <c:pt idx="0">
                  <c:v>B+</c:v>
                </c:pt>
              </c:strCache>
            </c:strRef>
          </c:tx>
          <c:spPr>
            <a:ln w="28575" cap="rnd">
              <a:solidFill>
                <a:srgbClr val="92D05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LTDTA!$AS$52:$AS$68</c:f>
              <c:numCache>
                <c:formatCode>General</c:formatCode>
                <c:ptCount val="17"/>
                <c:pt idx="0">
                  <c:v>0.40500000000000003</c:v>
                </c:pt>
                <c:pt idx="1">
                  <c:v>0.4113</c:v>
                </c:pt>
                <c:pt idx="2">
                  <c:v>0.42009999999999997</c:v>
                </c:pt>
                <c:pt idx="3">
                  <c:v>0.4264</c:v>
                </c:pt>
                <c:pt idx="4">
                  <c:v>0.43519999999999998</c:v>
                </c:pt>
                <c:pt idx="5">
                  <c:v>0.44359999999999999</c:v>
                </c:pt>
                <c:pt idx="6">
                  <c:v>0.45779999999999998</c:v>
                </c:pt>
                <c:pt idx="7">
                  <c:v>0.46239999999999998</c:v>
                </c:pt>
                <c:pt idx="8">
                  <c:v>0.4617</c:v>
                </c:pt>
                <c:pt idx="9">
                  <c:v>0.45590000000000003</c:v>
                </c:pt>
                <c:pt idx="10">
                  <c:v>0.44109999999999999</c:v>
                </c:pt>
                <c:pt idx="11">
                  <c:v>0.43609999999999999</c:v>
                </c:pt>
                <c:pt idx="12">
                  <c:v>0.4375</c:v>
                </c:pt>
                <c:pt idx="13">
                  <c:v>0.43319999999999997</c:v>
                </c:pt>
                <c:pt idx="14">
                  <c:v>0.43969999999999998</c:v>
                </c:pt>
                <c:pt idx="15">
                  <c:v>0.4264</c:v>
                </c:pt>
                <c:pt idx="16">
                  <c:v>0.4178</c:v>
                </c:pt>
              </c:numCache>
            </c:numRef>
          </c:val>
          <c:smooth val="0"/>
          <c:extLst>
            <c:ext xmlns:c16="http://schemas.microsoft.com/office/drawing/2014/chart" uri="{C3380CC4-5D6E-409C-BE32-E72D297353CC}">
              <c16:uniqueId val="{0000000D-3206-402A-A8DF-4DE841DFC68A}"/>
            </c:ext>
          </c:extLst>
        </c:ser>
        <c:ser>
          <c:idx val="14"/>
          <c:order val="14"/>
          <c:tx>
            <c:strRef>
              <c:f>LTDTA!$AT$51</c:f>
              <c:strCache>
                <c:ptCount val="1"/>
                <c:pt idx="0">
                  <c:v>B</c:v>
                </c:pt>
              </c:strCache>
            </c:strRef>
          </c:tx>
          <c:spPr>
            <a:ln w="28575" cap="rnd">
              <a:solidFill>
                <a:srgbClr val="92D05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LTDTA!$AT$52:$AT$68</c:f>
              <c:numCache>
                <c:formatCode>General</c:formatCode>
                <c:ptCount val="17"/>
                <c:pt idx="0">
                  <c:v>0.4239</c:v>
                </c:pt>
                <c:pt idx="1">
                  <c:v>0.44019999999999998</c:v>
                </c:pt>
                <c:pt idx="2">
                  <c:v>0.44769999999999999</c:v>
                </c:pt>
                <c:pt idx="3">
                  <c:v>0.45839999999999997</c:v>
                </c:pt>
                <c:pt idx="4">
                  <c:v>0.46870000000000001</c:v>
                </c:pt>
                <c:pt idx="5">
                  <c:v>0.47820000000000001</c:v>
                </c:pt>
                <c:pt idx="6">
                  <c:v>0.48209999999999997</c:v>
                </c:pt>
                <c:pt idx="7">
                  <c:v>0.48449999999999999</c:v>
                </c:pt>
                <c:pt idx="8">
                  <c:v>0.4572</c:v>
                </c:pt>
                <c:pt idx="9">
                  <c:v>0.44840000000000002</c:v>
                </c:pt>
                <c:pt idx="10">
                  <c:v>0.44059999999999999</c:v>
                </c:pt>
                <c:pt idx="11">
                  <c:v>0.42149999999999999</c:v>
                </c:pt>
                <c:pt idx="12">
                  <c:v>0.39879999999999999</c:v>
                </c:pt>
                <c:pt idx="13">
                  <c:v>0.40679999999999999</c:v>
                </c:pt>
                <c:pt idx="14">
                  <c:v>0.40570000000000001</c:v>
                </c:pt>
                <c:pt idx="15">
                  <c:v>0.42159999999999997</c:v>
                </c:pt>
                <c:pt idx="16">
                  <c:v>0.41449999999999998</c:v>
                </c:pt>
              </c:numCache>
            </c:numRef>
          </c:val>
          <c:smooth val="0"/>
          <c:extLst>
            <c:ext xmlns:c16="http://schemas.microsoft.com/office/drawing/2014/chart" uri="{C3380CC4-5D6E-409C-BE32-E72D297353CC}">
              <c16:uniqueId val="{0000000E-3206-402A-A8DF-4DE841DFC68A}"/>
            </c:ext>
          </c:extLst>
        </c:ser>
        <c:ser>
          <c:idx val="15"/>
          <c:order val="15"/>
          <c:tx>
            <c:strRef>
              <c:f>LTDTA!$AU$51</c:f>
              <c:strCache>
                <c:ptCount val="1"/>
                <c:pt idx="0">
                  <c:v>B_-</c:v>
                </c:pt>
              </c:strCache>
            </c:strRef>
          </c:tx>
          <c:spPr>
            <a:ln w="28575" cap="rnd">
              <a:solidFill>
                <a:srgbClr val="92D05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LTDTA!$AU$52:$AU$68</c:f>
              <c:numCache>
                <c:formatCode>General</c:formatCode>
                <c:ptCount val="17"/>
                <c:pt idx="0">
                  <c:v>0.44529999999999997</c:v>
                </c:pt>
                <c:pt idx="1">
                  <c:v>0.44269999999999998</c:v>
                </c:pt>
                <c:pt idx="2">
                  <c:v>0.44719999999999999</c:v>
                </c:pt>
                <c:pt idx="3">
                  <c:v>0.46600000000000003</c:v>
                </c:pt>
                <c:pt idx="4">
                  <c:v>0.47399999999999998</c:v>
                </c:pt>
                <c:pt idx="5">
                  <c:v>0.4889</c:v>
                </c:pt>
                <c:pt idx="6">
                  <c:v>0.49380000000000002</c:v>
                </c:pt>
                <c:pt idx="7">
                  <c:v>0.4763</c:v>
                </c:pt>
                <c:pt idx="8">
                  <c:v>0.42609999999999998</c:v>
                </c:pt>
                <c:pt idx="9">
                  <c:v>0.41739999999999999</c:v>
                </c:pt>
                <c:pt idx="10">
                  <c:v>0.38350000000000001</c:v>
                </c:pt>
                <c:pt idx="11">
                  <c:v>0.38700000000000001</c:v>
                </c:pt>
                <c:pt idx="12">
                  <c:v>0.36930000000000002</c:v>
                </c:pt>
                <c:pt idx="13">
                  <c:v>0.38090000000000002</c:v>
                </c:pt>
                <c:pt idx="14">
                  <c:v>0.38159999999999999</c:v>
                </c:pt>
                <c:pt idx="15">
                  <c:v>0.3755</c:v>
                </c:pt>
                <c:pt idx="16">
                  <c:v>0.36780000000000002</c:v>
                </c:pt>
              </c:numCache>
            </c:numRef>
          </c:val>
          <c:smooth val="0"/>
          <c:extLst>
            <c:ext xmlns:c16="http://schemas.microsoft.com/office/drawing/2014/chart" uri="{C3380CC4-5D6E-409C-BE32-E72D297353CC}">
              <c16:uniqueId val="{0000000F-3206-402A-A8DF-4DE841DFC68A}"/>
            </c:ext>
          </c:extLst>
        </c:ser>
        <c:ser>
          <c:idx val="16"/>
          <c:order val="16"/>
          <c:tx>
            <c:strRef>
              <c:f>LTDTA!$AV$51</c:f>
              <c:strCache>
                <c:ptCount val="1"/>
                <c:pt idx="0">
                  <c:v>CCC+</c:v>
                </c:pt>
              </c:strCache>
            </c:strRef>
          </c:tx>
          <c:spPr>
            <a:ln w="28575" cap="rnd">
              <a:solidFill>
                <a:srgbClr val="00B0F0"/>
              </a:solidFill>
              <a:prstDash val="sysDot"/>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LTDTA!$AV$52:$AV$68</c:f>
              <c:numCache>
                <c:formatCode>General</c:formatCode>
                <c:ptCount val="17"/>
                <c:pt idx="0">
                  <c:v>0.43109999999999998</c:v>
                </c:pt>
                <c:pt idx="1">
                  <c:v>0.45229999999999998</c:v>
                </c:pt>
                <c:pt idx="2">
                  <c:v>0.46760000000000002</c:v>
                </c:pt>
                <c:pt idx="3">
                  <c:v>0.4773</c:v>
                </c:pt>
                <c:pt idx="4">
                  <c:v>0.48180000000000001</c:v>
                </c:pt>
                <c:pt idx="5">
                  <c:v>0.49480000000000002</c:v>
                </c:pt>
                <c:pt idx="6">
                  <c:v>0.51300000000000001</c:v>
                </c:pt>
                <c:pt idx="7">
                  <c:v>0.44269999999999998</c:v>
                </c:pt>
                <c:pt idx="8">
                  <c:v>0.36520000000000002</c:v>
                </c:pt>
                <c:pt idx="9">
                  <c:v>0.29749999999999999</c:v>
                </c:pt>
                <c:pt idx="10">
                  <c:v>0.31090000000000001</c:v>
                </c:pt>
                <c:pt idx="11">
                  <c:v>0.30609999999999998</c:v>
                </c:pt>
                <c:pt idx="12">
                  <c:v>0.33179999999999998</c:v>
                </c:pt>
                <c:pt idx="13">
                  <c:v>0.32340000000000002</c:v>
                </c:pt>
                <c:pt idx="14">
                  <c:v>0.33810000000000001</c:v>
                </c:pt>
                <c:pt idx="15">
                  <c:v>0.33489999999999998</c:v>
                </c:pt>
                <c:pt idx="16">
                  <c:v>0.31590000000000001</c:v>
                </c:pt>
              </c:numCache>
            </c:numRef>
          </c:val>
          <c:smooth val="0"/>
          <c:extLst>
            <c:ext xmlns:c16="http://schemas.microsoft.com/office/drawing/2014/chart" uri="{C3380CC4-5D6E-409C-BE32-E72D297353CC}">
              <c16:uniqueId val="{00000010-3206-402A-A8DF-4DE841DFC68A}"/>
            </c:ext>
          </c:extLst>
        </c:ser>
        <c:ser>
          <c:idx val="17"/>
          <c:order val="17"/>
          <c:tx>
            <c:strRef>
              <c:f>LTDTA!$AW$51</c:f>
              <c:strCache>
                <c:ptCount val="1"/>
                <c:pt idx="0">
                  <c:v>CCC</c:v>
                </c:pt>
              </c:strCache>
            </c:strRef>
          </c:tx>
          <c:spPr>
            <a:ln w="28575" cap="rnd">
              <a:solidFill>
                <a:srgbClr val="00B0F0"/>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LTDTA!$AW$52:$AW$68</c:f>
              <c:numCache>
                <c:formatCode>General</c:formatCode>
                <c:ptCount val="17"/>
                <c:pt idx="0">
                  <c:v>0.44840000000000002</c:v>
                </c:pt>
                <c:pt idx="1">
                  <c:v>0.45419999999999999</c:v>
                </c:pt>
                <c:pt idx="2">
                  <c:v>0.46500000000000002</c:v>
                </c:pt>
                <c:pt idx="3">
                  <c:v>0.47839999999999999</c:v>
                </c:pt>
                <c:pt idx="4">
                  <c:v>0.50549999999999995</c:v>
                </c:pt>
                <c:pt idx="5">
                  <c:v>0.51119999999999999</c:v>
                </c:pt>
                <c:pt idx="6">
                  <c:v>0.46489999999999998</c:v>
                </c:pt>
                <c:pt idx="7">
                  <c:v>0.37759999999999999</c:v>
                </c:pt>
                <c:pt idx="8">
                  <c:v>0.27800000000000002</c:v>
                </c:pt>
                <c:pt idx="9">
                  <c:v>0.27150000000000002</c:v>
                </c:pt>
                <c:pt idx="10">
                  <c:v>0.25829999999999997</c:v>
                </c:pt>
                <c:pt idx="11">
                  <c:v>0.3004</c:v>
                </c:pt>
                <c:pt idx="12">
                  <c:v>0.27060000000000001</c:v>
                </c:pt>
                <c:pt idx="13">
                  <c:v>0.29170000000000001</c:v>
                </c:pt>
                <c:pt idx="14">
                  <c:v>0.2949</c:v>
                </c:pt>
                <c:pt idx="15">
                  <c:v>0.29549999999999998</c:v>
                </c:pt>
                <c:pt idx="16">
                  <c:v>0.30399999999999999</c:v>
                </c:pt>
              </c:numCache>
            </c:numRef>
          </c:val>
          <c:smooth val="0"/>
          <c:extLst>
            <c:ext xmlns:c16="http://schemas.microsoft.com/office/drawing/2014/chart" uri="{C3380CC4-5D6E-409C-BE32-E72D297353CC}">
              <c16:uniqueId val="{00000011-3206-402A-A8DF-4DE841DFC68A}"/>
            </c:ext>
          </c:extLst>
        </c:ser>
        <c:ser>
          <c:idx val="18"/>
          <c:order val="18"/>
          <c:tx>
            <c:strRef>
              <c:f>LTDTA!$AX$51</c:f>
              <c:strCache>
                <c:ptCount val="1"/>
                <c:pt idx="0">
                  <c:v>CCC-</c:v>
                </c:pt>
              </c:strCache>
            </c:strRef>
          </c:tx>
          <c:spPr>
            <a:ln w="28575" cap="rnd">
              <a:solidFill>
                <a:srgbClr val="00B0F0"/>
              </a:solidFill>
              <a:prstDash val="sysDash"/>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LTDTA!$AX$52:$AX$68</c:f>
              <c:numCache>
                <c:formatCode>General</c:formatCode>
                <c:ptCount val="17"/>
                <c:pt idx="0">
                  <c:v>0.51670000000000005</c:v>
                </c:pt>
                <c:pt idx="1">
                  <c:v>0.52090000000000003</c:v>
                </c:pt>
                <c:pt idx="2">
                  <c:v>0.54449999999999998</c:v>
                </c:pt>
                <c:pt idx="3">
                  <c:v>0.55120000000000002</c:v>
                </c:pt>
                <c:pt idx="4">
                  <c:v>0.57269999999999999</c:v>
                </c:pt>
                <c:pt idx="5">
                  <c:v>0.55379999999999996</c:v>
                </c:pt>
                <c:pt idx="6">
                  <c:v>0.47420000000000001</c:v>
                </c:pt>
                <c:pt idx="7">
                  <c:v>0.37440000000000001</c:v>
                </c:pt>
                <c:pt idx="8">
                  <c:v>0.29759999999999998</c:v>
                </c:pt>
                <c:pt idx="9">
                  <c:v>0.2157</c:v>
                </c:pt>
                <c:pt idx="10">
                  <c:v>0.249</c:v>
                </c:pt>
                <c:pt idx="11">
                  <c:v>0.2586</c:v>
                </c:pt>
                <c:pt idx="12">
                  <c:v>0.28510000000000002</c:v>
                </c:pt>
                <c:pt idx="13">
                  <c:v>0.29210000000000003</c:v>
                </c:pt>
                <c:pt idx="14">
                  <c:v>0.3553</c:v>
                </c:pt>
                <c:pt idx="15">
                  <c:v>0.35049999999999998</c:v>
                </c:pt>
                <c:pt idx="16">
                  <c:v>0.34300000000000003</c:v>
                </c:pt>
              </c:numCache>
            </c:numRef>
          </c:val>
          <c:smooth val="0"/>
          <c:extLst>
            <c:ext xmlns:c16="http://schemas.microsoft.com/office/drawing/2014/chart" uri="{C3380CC4-5D6E-409C-BE32-E72D297353CC}">
              <c16:uniqueId val="{00000012-3206-402A-A8DF-4DE841DFC68A}"/>
            </c:ext>
          </c:extLst>
        </c:ser>
        <c:ser>
          <c:idx val="19"/>
          <c:order val="19"/>
          <c:tx>
            <c:strRef>
              <c:f>LTDTA!$AY$51</c:f>
              <c:strCache>
                <c:ptCount val="1"/>
                <c:pt idx="0">
                  <c:v>CC</c:v>
                </c:pt>
              </c:strCache>
            </c:strRef>
          </c:tx>
          <c:spPr>
            <a:ln w="28575" cap="rnd">
              <a:solidFill>
                <a:schemeClr val="accent2">
                  <a:lumMod val="80000"/>
                </a:schemeClr>
              </a:solidFill>
              <a:round/>
            </a:ln>
            <a:effectLst/>
          </c:spPr>
          <c:marker>
            <c:symbol val="none"/>
          </c:marker>
          <c:cat>
            <c:strRef>
              <c:f>LTDTA!$AE$52:$AE$68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LTDTA!$AY$52:$AY$68</c:f>
              <c:numCache>
                <c:formatCode>General</c:formatCode>
                <c:ptCount val="17"/>
                <c:pt idx="0">
                  <c:v>0.44900000000000001</c:v>
                </c:pt>
                <c:pt idx="1">
                  <c:v>0.5</c:v>
                </c:pt>
                <c:pt idx="2">
                  <c:v>0.47870000000000001</c:v>
                </c:pt>
                <c:pt idx="3">
                  <c:v>0.49919999999999998</c:v>
                </c:pt>
                <c:pt idx="4">
                  <c:v>0.53159999999999996</c:v>
                </c:pt>
                <c:pt idx="5">
                  <c:v>0.55359999999999998</c:v>
                </c:pt>
                <c:pt idx="6">
                  <c:v>0.46960000000000002</c:v>
                </c:pt>
                <c:pt idx="7">
                  <c:v>0.41360000000000002</c:v>
                </c:pt>
                <c:pt idx="8">
                  <c:v>0.24460000000000001</c:v>
                </c:pt>
                <c:pt idx="9">
                  <c:v>0.1893</c:v>
                </c:pt>
                <c:pt idx="10">
                  <c:v>0.23200000000000001</c:v>
                </c:pt>
                <c:pt idx="11">
                  <c:v>0.26250000000000001</c:v>
                </c:pt>
                <c:pt idx="12">
                  <c:v>0.2424</c:v>
                </c:pt>
                <c:pt idx="13">
                  <c:v>0.2727</c:v>
                </c:pt>
                <c:pt idx="14">
                  <c:v>0.28499999999999998</c:v>
                </c:pt>
                <c:pt idx="15">
                  <c:v>0.32250000000000001</c:v>
                </c:pt>
                <c:pt idx="16">
                  <c:v>0.33810000000000001</c:v>
                </c:pt>
              </c:numCache>
            </c:numRef>
          </c:val>
          <c:smooth val="0"/>
          <c:extLst>
            <c:ext xmlns:c16="http://schemas.microsoft.com/office/drawing/2014/chart" uri="{C3380CC4-5D6E-409C-BE32-E72D297353CC}">
              <c16:uniqueId val="{00000013-3206-402A-A8DF-4DE841DFC68A}"/>
            </c:ext>
          </c:extLst>
        </c:ser>
        <c:dLbls>
          <c:showLegendKey val="0"/>
          <c:showVal val="0"/>
          <c:showCatName val="0"/>
          <c:showSerName val="0"/>
          <c:showPercent val="0"/>
          <c:showBubbleSize val="0"/>
        </c:dLbls>
        <c:smooth val="0"/>
        <c:axId val="204694536"/>
        <c:axId val="207517968"/>
      </c:lineChart>
      <c:catAx>
        <c:axId val="204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a:t>
                </a:r>
                <a:r>
                  <a:rPr lang="en-US" baseline="0"/>
                  <a:t> Relative to Ratings Process (Q0)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17968"/>
        <c:crosses val="autoZero"/>
        <c:auto val="1"/>
        <c:lblAlgn val="ctr"/>
        <c:lblOffset val="100"/>
        <c:noMultiLvlLbl val="0"/>
      </c:catAx>
      <c:valAx>
        <c:axId val="20751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B0F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3</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Total-Debt-to-Total Assets (TD/TA) Ratios for Firms with Upgrades by</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 Prior Credit Watch Placements</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0"/>
          <c:tx>
            <c:strRef>
              <c:f>TDTA!$BL$51</c:f>
              <c:strCache>
                <c:ptCount val="1"/>
                <c:pt idx="0">
                  <c:v>AA-</c:v>
                </c:pt>
              </c:strCache>
            </c:strRef>
          </c:tx>
          <c:spPr>
            <a:ln w="28575" cap="rnd">
              <a:solidFill>
                <a:srgbClr val="C0000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TDTA!$BL$52:$BL$68</c:f>
              <c:numCache>
                <c:formatCode>General</c:formatCode>
                <c:ptCount val="17"/>
                <c:pt idx="0">
                  <c:v>0.30890000000000001</c:v>
                </c:pt>
                <c:pt idx="1">
                  <c:v>0.31309999999999999</c:v>
                </c:pt>
                <c:pt idx="2">
                  <c:v>0.3105</c:v>
                </c:pt>
                <c:pt idx="3">
                  <c:v>0.31559999999999999</c:v>
                </c:pt>
                <c:pt idx="4">
                  <c:v>0.31509999999999999</c:v>
                </c:pt>
                <c:pt idx="5">
                  <c:v>0.33639999999999998</c:v>
                </c:pt>
                <c:pt idx="6">
                  <c:v>0.33629999999999999</c:v>
                </c:pt>
                <c:pt idx="7">
                  <c:v>0.33400000000000002</c:v>
                </c:pt>
                <c:pt idx="8">
                  <c:v>0.33829999999999999</c:v>
                </c:pt>
                <c:pt idx="9">
                  <c:v>0.3453</c:v>
                </c:pt>
                <c:pt idx="10">
                  <c:v>0.34200000000000003</c:v>
                </c:pt>
                <c:pt idx="11">
                  <c:v>0.34470000000000001</c:v>
                </c:pt>
                <c:pt idx="12">
                  <c:v>0.35199999999999998</c:v>
                </c:pt>
                <c:pt idx="13">
                  <c:v>0.35909999999999997</c:v>
                </c:pt>
                <c:pt idx="14">
                  <c:v>0.3488</c:v>
                </c:pt>
                <c:pt idx="15">
                  <c:v>0.34549999999999997</c:v>
                </c:pt>
                <c:pt idx="16">
                  <c:v>0.35880000000000001</c:v>
                </c:pt>
              </c:numCache>
            </c:numRef>
          </c:val>
          <c:smooth val="0"/>
          <c:extLst>
            <c:ext xmlns:c16="http://schemas.microsoft.com/office/drawing/2014/chart" uri="{C3380CC4-5D6E-409C-BE32-E72D297353CC}">
              <c16:uniqueId val="{00000000-4BAF-418F-AC52-DBE8AF6DB9ED}"/>
            </c:ext>
          </c:extLst>
        </c:ser>
        <c:ser>
          <c:idx val="4"/>
          <c:order val="1"/>
          <c:tx>
            <c:strRef>
              <c:f>TDTA!$BM$51</c:f>
              <c:strCache>
                <c:ptCount val="1"/>
                <c:pt idx="0">
                  <c:v>A+</c:v>
                </c:pt>
              </c:strCache>
            </c:strRef>
          </c:tx>
          <c:spPr>
            <a:ln w="28575" cap="rnd">
              <a:solidFill>
                <a:srgbClr val="7030A0"/>
              </a:solidFill>
              <a:prstDash val="sysDot"/>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TDTA!$BM$52:$BM$68</c:f>
              <c:numCache>
                <c:formatCode>General</c:formatCode>
                <c:ptCount val="17"/>
                <c:pt idx="0">
                  <c:v>0.21429999999999999</c:v>
                </c:pt>
                <c:pt idx="1">
                  <c:v>0.21529999999999999</c:v>
                </c:pt>
                <c:pt idx="2">
                  <c:v>0.21579999999999999</c:v>
                </c:pt>
                <c:pt idx="3">
                  <c:v>0.2185</c:v>
                </c:pt>
                <c:pt idx="4">
                  <c:v>0.21579999999999999</c:v>
                </c:pt>
                <c:pt idx="5">
                  <c:v>0.22459999999999999</c:v>
                </c:pt>
                <c:pt idx="6">
                  <c:v>0.2263</c:v>
                </c:pt>
                <c:pt idx="7">
                  <c:v>0.23580000000000001</c:v>
                </c:pt>
                <c:pt idx="8">
                  <c:v>0.24440000000000001</c:v>
                </c:pt>
                <c:pt idx="9">
                  <c:v>0.24660000000000001</c:v>
                </c:pt>
                <c:pt idx="10">
                  <c:v>0.24709999999999999</c:v>
                </c:pt>
                <c:pt idx="11">
                  <c:v>0.25219999999999998</c:v>
                </c:pt>
                <c:pt idx="12">
                  <c:v>0.2487</c:v>
                </c:pt>
                <c:pt idx="13">
                  <c:v>0.2492</c:v>
                </c:pt>
                <c:pt idx="14">
                  <c:v>0.27010000000000001</c:v>
                </c:pt>
                <c:pt idx="15">
                  <c:v>0.25679999999999997</c:v>
                </c:pt>
                <c:pt idx="16">
                  <c:v>0.29670000000000002</c:v>
                </c:pt>
              </c:numCache>
            </c:numRef>
          </c:val>
          <c:smooth val="0"/>
          <c:extLst>
            <c:ext xmlns:c16="http://schemas.microsoft.com/office/drawing/2014/chart" uri="{C3380CC4-5D6E-409C-BE32-E72D297353CC}">
              <c16:uniqueId val="{00000001-4BAF-418F-AC52-DBE8AF6DB9ED}"/>
            </c:ext>
          </c:extLst>
        </c:ser>
        <c:ser>
          <c:idx val="5"/>
          <c:order val="2"/>
          <c:tx>
            <c:strRef>
              <c:f>TDTA!$BN$51</c:f>
              <c:strCache>
                <c:ptCount val="1"/>
                <c:pt idx="0">
                  <c:v>A</c:v>
                </c:pt>
              </c:strCache>
            </c:strRef>
          </c:tx>
          <c:spPr>
            <a:ln w="28575" cap="rnd">
              <a:solidFill>
                <a:srgbClr val="7030A0"/>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TDTA!$BN$52:$BN$68</c:f>
              <c:numCache>
                <c:formatCode>General</c:formatCode>
                <c:ptCount val="17"/>
                <c:pt idx="0">
                  <c:v>0.25609999999999999</c:v>
                </c:pt>
                <c:pt idx="1">
                  <c:v>0.2492</c:v>
                </c:pt>
                <c:pt idx="2">
                  <c:v>0.25330000000000003</c:v>
                </c:pt>
                <c:pt idx="3">
                  <c:v>0.25540000000000002</c:v>
                </c:pt>
                <c:pt idx="4">
                  <c:v>0.25540000000000002</c:v>
                </c:pt>
                <c:pt idx="5">
                  <c:v>0.254</c:v>
                </c:pt>
                <c:pt idx="6">
                  <c:v>0.25590000000000002</c:v>
                </c:pt>
                <c:pt idx="7">
                  <c:v>0.2555</c:v>
                </c:pt>
                <c:pt idx="8">
                  <c:v>0.2422</c:v>
                </c:pt>
                <c:pt idx="9">
                  <c:v>0.24279999999999999</c:v>
                </c:pt>
                <c:pt idx="10">
                  <c:v>0.247</c:v>
                </c:pt>
                <c:pt idx="11">
                  <c:v>0.2417</c:v>
                </c:pt>
                <c:pt idx="12">
                  <c:v>0.24610000000000001</c:v>
                </c:pt>
                <c:pt idx="13">
                  <c:v>0.2457</c:v>
                </c:pt>
                <c:pt idx="14">
                  <c:v>0.2442</c:v>
                </c:pt>
                <c:pt idx="15">
                  <c:v>0.24679999999999999</c:v>
                </c:pt>
                <c:pt idx="16">
                  <c:v>0.249</c:v>
                </c:pt>
              </c:numCache>
            </c:numRef>
          </c:val>
          <c:smooth val="0"/>
          <c:extLst>
            <c:ext xmlns:c16="http://schemas.microsoft.com/office/drawing/2014/chart" uri="{C3380CC4-5D6E-409C-BE32-E72D297353CC}">
              <c16:uniqueId val="{00000002-4BAF-418F-AC52-DBE8AF6DB9ED}"/>
            </c:ext>
          </c:extLst>
        </c:ser>
        <c:ser>
          <c:idx val="6"/>
          <c:order val="3"/>
          <c:tx>
            <c:strRef>
              <c:f>TDTA!$BO$51</c:f>
              <c:strCache>
                <c:ptCount val="1"/>
                <c:pt idx="0">
                  <c:v>A-</c:v>
                </c:pt>
              </c:strCache>
            </c:strRef>
          </c:tx>
          <c:spPr>
            <a:ln w="28575" cap="rnd">
              <a:solidFill>
                <a:srgbClr val="7030A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TDTA!$BO$52:$BO$68</c:f>
              <c:numCache>
                <c:formatCode>General</c:formatCode>
                <c:ptCount val="17"/>
                <c:pt idx="0">
                  <c:v>0.28210000000000002</c:v>
                </c:pt>
                <c:pt idx="1">
                  <c:v>0.28100000000000003</c:v>
                </c:pt>
                <c:pt idx="2">
                  <c:v>0.27960000000000002</c:v>
                </c:pt>
                <c:pt idx="3">
                  <c:v>0.27960000000000002</c:v>
                </c:pt>
                <c:pt idx="4">
                  <c:v>0.2787</c:v>
                </c:pt>
                <c:pt idx="5">
                  <c:v>0.2752</c:v>
                </c:pt>
                <c:pt idx="6">
                  <c:v>0.27579999999999999</c:v>
                </c:pt>
                <c:pt idx="7">
                  <c:v>0.27510000000000001</c:v>
                </c:pt>
                <c:pt idx="8">
                  <c:v>0.27710000000000001</c:v>
                </c:pt>
                <c:pt idx="9">
                  <c:v>0.28139999999999998</c:v>
                </c:pt>
                <c:pt idx="10">
                  <c:v>0.29170000000000001</c:v>
                </c:pt>
                <c:pt idx="11">
                  <c:v>0.29360000000000003</c:v>
                </c:pt>
                <c:pt idx="12">
                  <c:v>0.29389999999999999</c:v>
                </c:pt>
                <c:pt idx="13">
                  <c:v>0.2984</c:v>
                </c:pt>
                <c:pt idx="14">
                  <c:v>0.30649999999999999</c:v>
                </c:pt>
                <c:pt idx="15">
                  <c:v>0.30919999999999997</c:v>
                </c:pt>
                <c:pt idx="16">
                  <c:v>0.31740000000000002</c:v>
                </c:pt>
              </c:numCache>
            </c:numRef>
          </c:val>
          <c:smooth val="0"/>
          <c:extLst>
            <c:ext xmlns:c16="http://schemas.microsoft.com/office/drawing/2014/chart" uri="{C3380CC4-5D6E-409C-BE32-E72D297353CC}">
              <c16:uniqueId val="{00000003-4BAF-418F-AC52-DBE8AF6DB9ED}"/>
            </c:ext>
          </c:extLst>
        </c:ser>
        <c:ser>
          <c:idx val="7"/>
          <c:order val="4"/>
          <c:tx>
            <c:strRef>
              <c:f>TDTA!$BP$51</c:f>
              <c:strCache>
                <c:ptCount val="1"/>
                <c:pt idx="0">
                  <c:v>BBB+</c:v>
                </c:pt>
              </c:strCache>
            </c:strRef>
          </c:tx>
          <c:spPr>
            <a:ln w="28575" cap="rnd">
              <a:solidFill>
                <a:srgbClr val="FFC000"/>
              </a:solidFill>
              <a:prstDash val="sysDot"/>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TDTA!$BP$52:$BP$68</c:f>
              <c:numCache>
                <c:formatCode>General</c:formatCode>
                <c:ptCount val="17"/>
                <c:pt idx="0">
                  <c:v>0.28489999999999999</c:v>
                </c:pt>
                <c:pt idx="1">
                  <c:v>0.27939999999999998</c:v>
                </c:pt>
                <c:pt idx="2">
                  <c:v>0.28449999999999998</c:v>
                </c:pt>
                <c:pt idx="3">
                  <c:v>0.28520000000000001</c:v>
                </c:pt>
                <c:pt idx="4">
                  <c:v>0.28210000000000002</c:v>
                </c:pt>
                <c:pt idx="5">
                  <c:v>0.28220000000000001</c:v>
                </c:pt>
                <c:pt idx="6">
                  <c:v>0.27650000000000002</c:v>
                </c:pt>
                <c:pt idx="7">
                  <c:v>0.27589999999999998</c:v>
                </c:pt>
                <c:pt idx="8">
                  <c:v>0.26340000000000002</c:v>
                </c:pt>
                <c:pt idx="9">
                  <c:v>0.26690000000000003</c:v>
                </c:pt>
                <c:pt idx="10">
                  <c:v>0.26629999999999998</c:v>
                </c:pt>
                <c:pt idx="11">
                  <c:v>0.26939999999999997</c:v>
                </c:pt>
                <c:pt idx="12">
                  <c:v>0.27</c:v>
                </c:pt>
                <c:pt idx="13">
                  <c:v>0.27060000000000001</c:v>
                </c:pt>
                <c:pt idx="14">
                  <c:v>0.27210000000000001</c:v>
                </c:pt>
                <c:pt idx="15">
                  <c:v>0.26690000000000003</c:v>
                </c:pt>
                <c:pt idx="16">
                  <c:v>0.2712</c:v>
                </c:pt>
              </c:numCache>
            </c:numRef>
          </c:val>
          <c:smooth val="0"/>
          <c:extLst>
            <c:ext xmlns:c16="http://schemas.microsoft.com/office/drawing/2014/chart" uri="{C3380CC4-5D6E-409C-BE32-E72D297353CC}">
              <c16:uniqueId val="{00000004-4BAF-418F-AC52-DBE8AF6DB9ED}"/>
            </c:ext>
          </c:extLst>
        </c:ser>
        <c:ser>
          <c:idx val="8"/>
          <c:order val="5"/>
          <c:tx>
            <c:strRef>
              <c:f>TDTA!$BQ$51</c:f>
              <c:strCache>
                <c:ptCount val="1"/>
                <c:pt idx="0">
                  <c:v>BBB</c:v>
                </c:pt>
              </c:strCache>
            </c:strRef>
          </c:tx>
          <c:spPr>
            <a:ln w="28575" cap="rnd">
              <a:solidFill>
                <a:srgbClr val="FFC000"/>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TDTA!$BQ$52:$BQ$68</c:f>
              <c:numCache>
                <c:formatCode>General</c:formatCode>
                <c:ptCount val="17"/>
                <c:pt idx="0">
                  <c:v>0.30030000000000001</c:v>
                </c:pt>
                <c:pt idx="1">
                  <c:v>0.30009999999999998</c:v>
                </c:pt>
                <c:pt idx="2">
                  <c:v>0.29720000000000002</c:v>
                </c:pt>
                <c:pt idx="3">
                  <c:v>0.2994</c:v>
                </c:pt>
                <c:pt idx="4">
                  <c:v>0.3</c:v>
                </c:pt>
                <c:pt idx="5">
                  <c:v>0.29709999999999998</c:v>
                </c:pt>
                <c:pt idx="6">
                  <c:v>0.29149999999999998</c:v>
                </c:pt>
                <c:pt idx="7">
                  <c:v>0.28639999999999999</c:v>
                </c:pt>
                <c:pt idx="8">
                  <c:v>0.2828</c:v>
                </c:pt>
                <c:pt idx="9">
                  <c:v>0.28289999999999998</c:v>
                </c:pt>
                <c:pt idx="10">
                  <c:v>0.27979999999999999</c:v>
                </c:pt>
                <c:pt idx="11">
                  <c:v>0.27789999999999998</c:v>
                </c:pt>
                <c:pt idx="12">
                  <c:v>0.28670000000000001</c:v>
                </c:pt>
                <c:pt idx="13">
                  <c:v>0.29160000000000003</c:v>
                </c:pt>
                <c:pt idx="14">
                  <c:v>0.29339999999999999</c:v>
                </c:pt>
                <c:pt idx="15">
                  <c:v>0.29549999999999998</c:v>
                </c:pt>
                <c:pt idx="16">
                  <c:v>0.29499999999999998</c:v>
                </c:pt>
              </c:numCache>
            </c:numRef>
          </c:val>
          <c:smooth val="0"/>
          <c:extLst>
            <c:ext xmlns:c16="http://schemas.microsoft.com/office/drawing/2014/chart" uri="{C3380CC4-5D6E-409C-BE32-E72D297353CC}">
              <c16:uniqueId val="{00000005-4BAF-418F-AC52-DBE8AF6DB9ED}"/>
            </c:ext>
          </c:extLst>
        </c:ser>
        <c:ser>
          <c:idx val="9"/>
          <c:order val="6"/>
          <c:tx>
            <c:strRef>
              <c:f>TDTA!$BR$51</c:f>
              <c:strCache>
                <c:ptCount val="1"/>
                <c:pt idx="0">
                  <c:v>BBB-</c:v>
                </c:pt>
              </c:strCache>
            </c:strRef>
          </c:tx>
          <c:spPr>
            <a:ln w="28575" cap="rnd">
              <a:solidFill>
                <a:srgbClr val="FFC00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TDTA!$BR$52:$BR$68</c:f>
              <c:numCache>
                <c:formatCode>General</c:formatCode>
                <c:ptCount val="17"/>
                <c:pt idx="0">
                  <c:v>0.33500000000000002</c:v>
                </c:pt>
                <c:pt idx="1">
                  <c:v>0.33350000000000002</c:v>
                </c:pt>
                <c:pt idx="2">
                  <c:v>0.32579999999999998</c:v>
                </c:pt>
                <c:pt idx="3">
                  <c:v>0.31879999999999997</c:v>
                </c:pt>
                <c:pt idx="4">
                  <c:v>0.31319999999999998</c:v>
                </c:pt>
                <c:pt idx="5">
                  <c:v>0.30590000000000001</c:v>
                </c:pt>
                <c:pt idx="6">
                  <c:v>0.29780000000000001</c:v>
                </c:pt>
                <c:pt idx="7">
                  <c:v>0.29759999999999998</c:v>
                </c:pt>
                <c:pt idx="8">
                  <c:v>0.27710000000000001</c:v>
                </c:pt>
                <c:pt idx="9">
                  <c:v>0.29249999999999998</c:v>
                </c:pt>
                <c:pt idx="10">
                  <c:v>0.28860000000000002</c:v>
                </c:pt>
                <c:pt idx="11">
                  <c:v>0.29260000000000003</c:v>
                </c:pt>
                <c:pt idx="12">
                  <c:v>0.2848</c:v>
                </c:pt>
                <c:pt idx="13">
                  <c:v>0.28460000000000002</c:v>
                </c:pt>
                <c:pt idx="14">
                  <c:v>0.28299999999999997</c:v>
                </c:pt>
                <c:pt idx="15">
                  <c:v>0.28210000000000002</c:v>
                </c:pt>
                <c:pt idx="16">
                  <c:v>0.28899999999999998</c:v>
                </c:pt>
              </c:numCache>
            </c:numRef>
          </c:val>
          <c:smooth val="0"/>
          <c:extLst>
            <c:ext xmlns:c16="http://schemas.microsoft.com/office/drawing/2014/chart" uri="{C3380CC4-5D6E-409C-BE32-E72D297353CC}">
              <c16:uniqueId val="{00000006-4BAF-418F-AC52-DBE8AF6DB9ED}"/>
            </c:ext>
          </c:extLst>
        </c:ser>
        <c:ser>
          <c:idx val="10"/>
          <c:order val="7"/>
          <c:tx>
            <c:strRef>
              <c:f>TDTA!$BS$51</c:f>
              <c:strCache>
                <c:ptCount val="1"/>
                <c:pt idx="0">
                  <c:v>BB+</c:v>
                </c:pt>
              </c:strCache>
            </c:strRef>
          </c:tx>
          <c:spPr>
            <a:ln w="28575" cap="rnd">
              <a:solidFill>
                <a:srgbClr val="002060"/>
              </a:solidFill>
              <a:prstDash val="sysDot"/>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TDTA!$BS$52:$BS$68</c:f>
              <c:numCache>
                <c:formatCode>General</c:formatCode>
                <c:ptCount val="17"/>
                <c:pt idx="0">
                  <c:v>0.31850000000000001</c:v>
                </c:pt>
                <c:pt idx="1">
                  <c:v>0.31119999999999998</c:v>
                </c:pt>
                <c:pt idx="2">
                  <c:v>0.31209999999999999</c:v>
                </c:pt>
                <c:pt idx="3">
                  <c:v>0.30930000000000002</c:v>
                </c:pt>
                <c:pt idx="4">
                  <c:v>0.30259999999999998</c:v>
                </c:pt>
                <c:pt idx="5">
                  <c:v>0.30349999999999999</c:v>
                </c:pt>
                <c:pt idx="6">
                  <c:v>0.29799999999999999</c:v>
                </c:pt>
                <c:pt idx="7">
                  <c:v>0.29509999999999997</c:v>
                </c:pt>
                <c:pt idx="8">
                  <c:v>0.28039999999999998</c:v>
                </c:pt>
                <c:pt idx="9">
                  <c:v>0.28210000000000002</c:v>
                </c:pt>
                <c:pt idx="10">
                  <c:v>0.27929999999999999</c:v>
                </c:pt>
                <c:pt idx="11">
                  <c:v>0.28689999999999999</c:v>
                </c:pt>
                <c:pt idx="12">
                  <c:v>0.28870000000000001</c:v>
                </c:pt>
                <c:pt idx="13">
                  <c:v>0.29409999999999997</c:v>
                </c:pt>
                <c:pt idx="14">
                  <c:v>0.29360000000000003</c:v>
                </c:pt>
                <c:pt idx="15">
                  <c:v>0.29509999999999997</c:v>
                </c:pt>
                <c:pt idx="16">
                  <c:v>0.29849999999999999</c:v>
                </c:pt>
              </c:numCache>
            </c:numRef>
          </c:val>
          <c:smooth val="0"/>
          <c:extLst>
            <c:ext xmlns:c16="http://schemas.microsoft.com/office/drawing/2014/chart" uri="{C3380CC4-5D6E-409C-BE32-E72D297353CC}">
              <c16:uniqueId val="{00000007-4BAF-418F-AC52-DBE8AF6DB9ED}"/>
            </c:ext>
          </c:extLst>
        </c:ser>
        <c:ser>
          <c:idx val="11"/>
          <c:order val="8"/>
          <c:tx>
            <c:strRef>
              <c:f>TDTA!$BT$51</c:f>
              <c:strCache>
                <c:ptCount val="1"/>
                <c:pt idx="0">
                  <c:v>BB</c:v>
                </c:pt>
              </c:strCache>
            </c:strRef>
          </c:tx>
          <c:spPr>
            <a:ln w="28575" cap="rnd">
              <a:solidFill>
                <a:srgbClr val="002060"/>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TDTA!$BT$52:$BT$68</c:f>
              <c:numCache>
                <c:formatCode>General</c:formatCode>
                <c:ptCount val="17"/>
                <c:pt idx="0">
                  <c:v>0.38140000000000002</c:v>
                </c:pt>
                <c:pt idx="1">
                  <c:v>0.3821</c:v>
                </c:pt>
                <c:pt idx="2">
                  <c:v>0.37780000000000002</c:v>
                </c:pt>
                <c:pt idx="3">
                  <c:v>0.37469999999999998</c:v>
                </c:pt>
                <c:pt idx="4">
                  <c:v>0.3654</c:v>
                </c:pt>
                <c:pt idx="5">
                  <c:v>0.3523</c:v>
                </c:pt>
                <c:pt idx="6">
                  <c:v>0.34060000000000001</c:v>
                </c:pt>
                <c:pt idx="7">
                  <c:v>0.34210000000000002</c:v>
                </c:pt>
                <c:pt idx="8">
                  <c:v>0.32019999999999998</c:v>
                </c:pt>
                <c:pt idx="9">
                  <c:v>0.31659999999999999</c:v>
                </c:pt>
                <c:pt idx="10">
                  <c:v>0.31069999999999998</c:v>
                </c:pt>
                <c:pt idx="11">
                  <c:v>0.31430000000000002</c:v>
                </c:pt>
                <c:pt idx="12">
                  <c:v>0.31669999999999998</c:v>
                </c:pt>
                <c:pt idx="13">
                  <c:v>0.3175</c:v>
                </c:pt>
                <c:pt idx="14">
                  <c:v>0.32069999999999999</c:v>
                </c:pt>
                <c:pt idx="15">
                  <c:v>0.32829999999999998</c:v>
                </c:pt>
                <c:pt idx="16">
                  <c:v>0.3281</c:v>
                </c:pt>
              </c:numCache>
            </c:numRef>
          </c:val>
          <c:smooth val="0"/>
          <c:extLst>
            <c:ext xmlns:c16="http://schemas.microsoft.com/office/drawing/2014/chart" uri="{C3380CC4-5D6E-409C-BE32-E72D297353CC}">
              <c16:uniqueId val="{00000008-4BAF-418F-AC52-DBE8AF6DB9ED}"/>
            </c:ext>
          </c:extLst>
        </c:ser>
        <c:ser>
          <c:idx val="12"/>
          <c:order val="9"/>
          <c:tx>
            <c:strRef>
              <c:f>TDTA!$BU$51</c:f>
              <c:strCache>
                <c:ptCount val="1"/>
                <c:pt idx="0">
                  <c:v>BB-</c:v>
                </c:pt>
              </c:strCache>
            </c:strRef>
          </c:tx>
          <c:spPr>
            <a:ln w="28575" cap="rnd">
              <a:solidFill>
                <a:srgbClr val="00206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TDTA!$BU$52:$BU$68</c:f>
              <c:numCache>
                <c:formatCode>General</c:formatCode>
                <c:ptCount val="17"/>
                <c:pt idx="0">
                  <c:v>0.38990000000000002</c:v>
                </c:pt>
                <c:pt idx="1">
                  <c:v>0.3972</c:v>
                </c:pt>
                <c:pt idx="2">
                  <c:v>0.37959999999999999</c:v>
                </c:pt>
                <c:pt idx="3">
                  <c:v>0.38030000000000003</c:v>
                </c:pt>
                <c:pt idx="4">
                  <c:v>0.38119999999999998</c:v>
                </c:pt>
                <c:pt idx="5">
                  <c:v>0.37090000000000001</c:v>
                </c:pt>
                <c:pt idx="6">
                  <c:v>0.35410000000000003</c:v>
                </c:pt>
                <c:pt idx="7">
                  <c:v>0.34739999999999999</c:v>
                </c:pt>
                <c:pt idx="8">
                  <c:v>0.3261</c:v>
                </c:pt>
                <c:pt idx="9">
                  <c:v>0.32169999999999999</c:v>
                </c:pt>
                <c:pt idx="10">
                  <c:v>0.31879999999999997</c:v>
                </c:pt>
                <c:pt idx="11">
                  <c:v>0.312</c:v>
                </c:pt>
                <c:pt idx="12">
                  <c:v>0.31680000000000003</c:v>
                </c:pt>
                <c:pt idx="13">
                  <c:v>0.3145</c:v>
                </c:pt>
                <c:pt idx="14">
                  <c:v>0.313</c:v>
                </c:pt>
                <c:pt idx="15">
                  <c:v>0.30559999999999998</c:v>
                </c:pt>
                <c:pt idx="16">
                  <c:v>0.30420000000000003</c:v>
                </c:pt>
              </c:numCache>
            </c:numRef>
          </c:val>
          <c:smooth val="0"/>
          <c:extLst>
            <c:ext xmlns:c16="http://schemas.microsoft.com/office/drawing/2014/chart" uri="{C3380CC4-5D6E-409C-BE32-E72D297353CC}">
              <c16:uniqueId val="{00000009-4BAF-418F-AC52-DBE8AF6DB9ED}"/>
            </c:ext>
          </c:extLst>
        </c:ser>
        <c:ser>
          <c:idx val="13"/>
          <c:order val="10"/>
          <c:tx>
            <c:strRef>
              <c:f>TDTA!$BV$51</c:f>
              <c:strCache>
                <c:ptCount val="1"/>
                <c:pt idx="0">
                  <c:v>B+</c:v>
                </c:pt>
              </c:strCache>
            </c:strRef>
          </c:tx>
          <c:spPr>
            <a:ln w="28575" cap="rnd">
              <a:solidFill>
                <a:srgbClr val="92D050"/>
              </a:solidFill>
              <a:prstDash val="sysDot"/>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TDTA!$BV$52:$BV$68</c:f>
              <c:numCache>
                <c:formatCode>General</c:formatCode>
                <c:ptCount val="17"/>
                <c:pt idx="0">
                  <c:v>0.4521</c:v>
                </c:pt>
                <c:pt idx="1">
                  <c:v>0.4486</c:v>
                </c:pt>
                <c:pt idx="2">
                  <c:v>0.45129999999999998</c:v>
                </c:pt>
                <c:pt idx="3">
                  <c:v>0.44669999999999999</c:v>
                </c:pt>
                <c:pt idx="4">
                  <c:v>0.433</c:v>
                </c:pt>
                <c:pt idx="5">
                  <c:v>0.42980000000000002</c:v>
                </c:pt>
                <c:pt idx="6">
                  <c:v>0.42409999999999998</c:v>
                </c:pt>
                <c:pt idx="7">
                  <c:v>0.4073</c:v>
                </c:pt>
                <c:pt idx="8">
                  <c:v>0.37809999999999999</c:v>
                </c:pt>
                <c:pt idx="9">
                  <c:v>0.37809999999999999</c:v>
                </c:pt>
                <c:pt idx="10">
                  <c:v>0.3735</c:v>
                </c:pt>
                <c:pt idx="11">
                  <c:v>0.38140000000000002</c:v>
                </c:pt>
                <c:pt idx="12">
                  <c:v>0.37859999999999999</c:v>
                </c:pt>
                <c:pt idx="13">
                  <c:v>0.37640000000000001</c:v>
                </c:pt>
                <c:pt idx="14">
                  <c:v>0.3649</c:v>
                </c:pt>
                <c:pt idx="15">
                  <c:v>0.36759999999999998</c:v>
                </c:pt>
                <c:pt idx="16">
                  <c:v>0.37009999999999998</c:v>
                </c:pt>
              </c:numCache>
            </c:numRef>
          </c:val>
          <c:smooth val="0"/>
          <c:extLst>
            <c:ext xmlns:c16="http://schemas.microsoft.com/office/drawing/2014/chart" uri="{C3380CC4-5D6E-409C-BE32-E72D297353CC}">
              <c16:uniqueId val="{0000000A-4BAF-418F-AC52-DBE8AF6DB9ED}"/>
            </c:ext>
          </c:extLst>
        </c:ser>
        <c:ser>
          <c:idx val="14"/>
          <c:order val="11"/>
          <c:tx>
            <c:strRef>
              <c:f>TDTA!$BW$51</c:f>
              <c:strCache>
                <c:ptCount val="1"/>
                <c:pt idx="0">
                  <c:v>B</c:v>
                </c:pt>
              </c:strCache>
            </c:strRef>
          </c:tx>
          <c:spPr>
            <a:ln w="28575" cap="rnd">
              <a:solidFill>
                <a:srgbClr val="92D050"/>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TDTA!$BW$52:$BW$68</c:f>
              <c:numCache>
                <c:formatCode>General</c:formatCode>
                <c:ptCount val="17"/>
                <c:pt idx="0">
                  <c:v>0.46610000000000001</c:v>
                </c:pt>
                <c:pt idx="1">
                  <c:v>0.46279999999999999</c:v>
                </c:pt>
                <c:pt idx="2">
                  <c:v>0.46429999999999999</c:v>
                </c:pt>
                <c:pt idx="3">
                  <c:v>0.47260000000000002</c:v>
                </c:pt>
                <c:pt idx="4">
                  <c:v>0.48320000000000002</c:v>
                </c:pt>
                <c:pt idx="5">
                  <c:v>0.49540000000000001</c:v>
                </c:pt>
                <c:pt idx="6">
                  <c:v>0.49340000000000001</c:v>
                </c:pt>
                <c:pt idx="7">
                  <c:v>0.48120000000000002</c:v>
                </c:pt>
                <c:pt idx="8">
                  <c:v>0.4582</c:v>
                </c:pt>
                <c:pt idx="9">
                  <c:v>0.45839999999999997</c:v>
                </c:pt>
                <c:pt idx="10">
                  <c:v>0.44729999999999998</c:v>
                </c:pt>
                <c:pt idx="11">
                  <c:v>0.44579999999999997</c:v>
                </c:pt>
                <c:pt idx="12">
                  <c:v>0.43819999999999998</c:v>
                </c:pt>
                <c:pt idx="13">
                  <c:v>0.44009999999999999</c:v>
                </c:pt>
                <c:pt idx="14">
                  <c:v>0.43640000000000001</c:v>
                </c:pt>
                <c:pt idx="15">
                  <c:v>0.4325</c:v>
                </c:pt>
                <c:pt idx="16">
                  <c:v>0.41849999999999998</c:v>
                </c:pt>
              </c:numCache>
            </c:numRef>
          </c:val>
          <c:smooth val="0"/>
          <c:extLst>
            <c:ext xmlns:c16="http://schemas.microsoft.com/office/drawing/2014/chart" uri="{C3380CC4-5D6E-409C-BE32-E72D297353CC}">
              <c16:uniqueId val="{0000000B-4BAF-418F-AC52-DBE8AF6DB9ED}"/>
            </c:ext>
          </c:extLst>
        </c:ser>
        <c:ser>
          <c:idx val="15"/>
          <c:order val="12"/>
          <c:tx>
            <c:strRef>
              <c:f>TDTA!$BX$51</c:f>
              <c:strCache>
                <c:ptCount val="1"/>
                <c:pt idx="0">
                  <c:v>B_-</c:v>
                </c:pt>
              </c:strCache>
            </c:strRef>
          </c:tx>
          <c:spPr>
            <a:ln w="28575" cap="rnd">
              <a:solidFill>
                <a:srgbClr val="92D05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TDTA!$BX$52:$BX$68</c:f>
              <c:numCache>
                <c:formatCode>General</c:formatCode>
                <c:ptCount val="17"/>
                <c:pt idx="0">
                  <c:v>0.49120000000000003</c:v>
                </c:pt>
                <c:pt idx="1">
                  <c:v>0.50019999999999998</c:v>
                </c:pt>
                <c:pt idx="2">
                  <c:v>0.50019999999999998</c:v>
                </c:pt>
                <c:pt idx="3">
                  <c:v>0.50180000000000002</c:v>
                </c:pt>
                <c:pt idx="4">
                  <c:v>0.49769999999999998</c:v>
                </c:pt>
                <c:pt idx="5">
                  <c:v>0.48110000000000003</c:v>
                </c:pt>
                <c:pt idx="6">
                  <c:v>0.47039999999999998</c:v>
                </c:pt>
                <c:pt idx="7">
                  <c:v>0.46239999999999998</c:v>
                </c:pt>
                <c:pt idx="8">
                  <c:v>0.43390000000000001</c:v>
                </c:pt>
                <c:pt idx="9">
                  <c:v>0.42759999999999998</c:v>
                </c:pt>
                <c:pt idx="10">
                  <c:v>0.42009999999999997</c:v>
                </c:pt>
                <c:pt idx="11">
                  <c:v>0.40639999999999998</c:v>
                </c:pt>
                <c:pt idx="12">
                  <c:v>0.41670000000000001</c:v>
                </c:pt>
                <c:pt idx="13">
                  <c:v>0.42649999999999999</c:v>
                </c:pt>
                <c:pt idx="14">
                  <c:v>0.42080000000000001</c:v>
                </c:pt>
                <c:pt idx="15">
                  <c:v>0.4224</c:v>
                </c:pt>
                <c:pt idx="16">
                  <c:v>0.41810000000000003</c:v>
                </c:pt>
              </c:numCache>
            </c:numRef>
          </c:val>
          <c:smooth val="0"/>
          <c:extLst>
            <c:ext xmlns:c16="http://schemas.microsoft.com/office/drawing/2014/chart" uri="{C3380CC4-5D6E-409C-BE32-E72D297353CC}">
              <c16:uniqueId val="{0000000C-4BAF-418F-AC52-DBE8AF6DB9ED}"/>
            </c:ext>
          </c:extLst>
        </c:ser>
        <c:ser>
          <c:idx val="16"/>
          <c:order val="13"/>
          <c:tx>
            <c:strRef>
              <c:f>TDTA!$BY$51</c:f>
              <c:strCache>
                <c:ptCount val="1"/>
                <c:pt idx="0">
                  <c:v>CCC+</c:v>
                </c:pt>
              </c:strCache>
            </c:strRef>
          </c:tx>
          <c:spPr>
            <a:ln w="28575" cap="rnd">
              <a:solidFill>
                <a:srgbClr val="00B0F0"/>
              </a:solidFill>
              <a:prstDash val="sysDot"/>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TDTA!$BY$52:$BY$68</c:f>
              <c:numCache>
                <c:formatCode>General</c:formatCode>
                <c:ptCount val="17"/>
                <c:pt idx="0">
                  <c:v>0.47010000000000002</c:v>
                </c:pt>
                <c:pt idx="1">
                  <c:v>0.47760000000000002</c:v>
                </c:pt>
                <c:pt idx="2">
                  <c:v>0.49349999999999999</c:v>
                </c:pt>
                <c:pt idx="3">
                  <c:v>0.4965</c:v>
                </c:pt>
                <c:pt idx="4">
                  <c:v>0.51229999999999998</c:v>
                </c:pt>
                <c:pt idx="5">
                  <c:v>0.52149999999999996</c:v>
                </c:pt>
                <c:pt idx="6">
                  <c:v>0.52180000000000004</c:v>
                </c:pt>
                <c:pt idx="7">
                  <c:v>0.50749999999999995</c:v>
                </c:pt>
                <c:pt idx="8">
                  <c:v>0.4733</c:v>
                </c:pt>
                <c:pt idx="9">
                  <c:v>0.45979999999999999</c:v>
                </c:pt>
                <c:pt idx="10">
                  <c:v>0.43590000000000001</c:v>
                </c:pt>
                <c:pt idx="11">
                  <c:v>0.44519999999999998</c:v>
                </c:pt>
                <c:pt idx="12">
                  <c:v>0.43459999999999999</c:v>
                </c:pt>
                <c:pt idx="13">
                  <c:v>0.44119999999999998</c:v>
                </c:pt>
                <c:pt idx="14">
                  <c:v>0.44769999999999999</c:v>
                </c:pt>
                <c:pt idx="15">
                  <c:v>0.433</c:v>
                </c:pt>
                <c:pt idx="16">
                  <c:v>0.4355</c:v>
                </c:pt>
              </c:numCache>
            </c:numRef>
          </c:val>
          <c:smooth val="0"/>
          <c:extLst>
            <c:ext xmlns:c16="http://schemas.microsoft.com/office/drawing/2014/chart" uri="{C3380CC4-5D6E-409C-BE32-E72D297353CC}">
              <c16:uniqueId val="{0000000D-4BAF-418F-AC52-DBE8AF6DB9ED}"/>
            </c:ext>
          </c:extLst>
        </c:ser>
        <c:ser>
          <c:idx val="17"/>
          <c:order val="14"/>
          <c:tx>
            <c:strRef>
              <c:f>TDTA!$BZ$51</c:f>
              <c:strCache>
                <c:ptCount val="1"/>
                <c:pt idx="0">
                  <c:v>CCC</c:v>
                </c:pt>
              </c:strCache>
            </c:strRef>
          </c:tx>
          <c:spPr>
            <a:ln w="28575" cap="rnd">
              <a:solidFill>
                <a:srgbClr val="00B0F0"/>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TDTA!$BZ$52:$BZ$68</c:f>
              <c:numCache>
                <c:formatCode>General</c:formatCode>
                <c:ptCount val="17"/>
                <c:pt idx="0">
                  <c:v>0.46279999999999999</c:v>
                </c:pt>
                <c:pt idx="1">
                  <c:v>0.47560000000000002</c:v>
                </c:pt>
                <c:pt idx="2">
                  <c:v>0.501</c:v>
                </c:pt>
                <c:pt idx="3">
                  <c:v>0.53139999999999998</c:v>
                </c:pt>
                <c:pt idx="4">
                  <c:v>0.54630000000000001</c:v>
                </c:pt>
                <c:pt idx="5">
                  <c:v>0.57040000000000002</c:v>
                </c:pt>
                <c:pt idx="6">
                  <c:v>0.58079999999999998</c:v>
                </c:pt>
                <c:pt idx="7">
                  <c:v>0.58850000000000002</c:v>
                </c:pt>
                <c:pt idx="8">
                  <c:v>0.56740000000000002</c:v>
                </c:pt>
                <c:pt idx="9">
                  <c:v>0.57020000000000004</c:v>
                </c:pt>
                <c:pt idx="10">
                  <c:v>0.58909999999999996</c:v>
                </c:pt>
                <c:pt idx="11">
                  <c:v>0.56699999999999995</c:v>
                </c:pt>
                <c:pt idx="12">
                  <c:v>0.5554</c:v>
                </c:pt>
                <c:pt idx="13">
                  <c:v>0.57599999999999996</c:v>
                </c:pt>
                <c:pt idx="14">
                  <c:v>0.58279999999999998</c:v>
                </c:pt>
                <c:pt idx="15">
                  <c:v>0.49419999999999997</c:v>
                </c:pt>
                <c:pt idx="16">
                  <c:v>0.52890000000000004</c:v>
                </c:pt>
              </c:numCache>
            </c:numRef>
          </c:val>
          <c:smooth val="0"/>
          <c:extLst>
            <c:ext xmlns:c16="http://schemas.microsoft.com/office/drawing/2014/chart" uri="{C3380CC4-5D6E-409C-BE32-E72D297353CC}">
              <c16:uniqueId val="{0000000E-4BAF-418F-AC52-DBE8AF6DB9ED}"/>
            </c:ext>
          </c:extLst>
        </c:ser>
        <c:ser>
          <c:idx val="18"/>
          <c:order val="15"/>
          <c:tx>
            <c:strRef>
              <c:f>TDTA!$CA$51</c:f>
              <c:strCache>
                <c:ptCount val="1"/>
                <c:pt idx="0">
                  <c:v>CCC-</c:v>
                </c:pt>
              </c:strCache>
            </c:strRef>
          </c:tx>
          <c:spPr>
            <a:ln w="28575" cap="rnd">
              <a:solidFill>
                <a:srgbClr val="00B0F0"/>
              </a:solidFill>
              <a:prstDash val="sysDash"/>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TDTA!$CA$52:$CA$68</c:f>
              <c:numCache>
                <c:formatCode>General</c:formatCode>
                <c:ptCount val="17"/>
                <c:pt idx="0">
                  <c:v>0.41770000000000002</c:v>
                </c:pt>
                <c:pt idx="1">
                  <c:v>0.39290000000000003</c:v>
                </c:pt>
                <c:pt idx="2">
                  <c:v>0.4224</c:v>
                </c:pt>
                <c:pt idx="3">
                  <c:v>0.3901</c:v>
                </c:pt>
                <c:pt idx="4">
                  <c:v>0.4133</c:v>
                </c:pt>
                <c:pt idx="5">
                  <c:v>0.43280000000000002</c:v>
                </c:pt>
                <c:pt idx="6">
                  <c:v>0.42370000000000002</c:v>
                </c:pt>
                <c:pt idx="7">
                  <c:v>0.44280000000000003</c:v>
                </c:pt>
                <c:pt idx="8">
                  <c:v>0.45479999999999998</c:v>
                </c:pt>
                <c:pt idx="9">
                  <c:v>0.35589999999999999</c:v>
                </c:pt>
                <c:pt idx="10">
                  <c:v>0.3669</c:v>
                </c:pt>
                <c:pt idx="11">
                  <c:v>0.35649999999999998</c:v>
                </c:pt>
                <c:pt idx="12">
                  <c:v>0.4178</c:v>
                </c:pt>
                <c:pt idx="13">
                  <c:v>0.41470000000000001</c:v>
                </c:pt>
                <c:pt idx="14">
                  <c:v>0.43869999999999998</c:v>
                </c:pt>
                <c:pt idx="15">
                  <c:v>0.4672</c:v>
                </c:pt>
                <c:pt idx="16">
                  <c:v>0.48359999999999997</c:v>
                </c:pt>
              </c:numCache>
            </c:numRef>
          </c:val>
          <c:smooth val="0"/>
          <c:extLst>
            <c:ext xmlns:c16="http://schemas.microsoft.com/office/drawing/2014/chart" uri="{C3380CC4-5D6E-409C-BE32-E72D297353CC}">
              <c16:uniqueId val="{0000000F-4BAF-418F-AC52-DBE8AF6DB9ED}"/>
            </c:ext>
          </c:extLst>
        </c:ser>
        <c:ser>
          <c:idx val="19"/>
          <c:order val="16"/>
          <c:tx>
            <c:strRef>
              <c:f>TDTA!$CB$51</c:f>
              <c:strCache>
                <c:ptCount val="1"/>
                <c:pt idx="0">
                  <c:v>CC</c:v>
                </c:pt>
              </c:strCache>
            </c:strRef>
          </c:tx>
          <c:spPr>
            <a:ln w="28575" cap="rnd">
              <a:solidFill>
                <a:schemeClr val="accent2">
                  <a:lumMod val="80000"/>
                </a:schemeClr>
              </a:solidFill>
              <a:round/>
            </a:ln>
            <a:effectLst/>
          </c:spPr>
          <c:marker>
            <c:symbol val="none"/>
          </c:marker>
          <c:cat>
            <c:strRef>
              <c:f>TDTA!$BH$52:$BH$68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TDTA!$CB$52:$CB$68</c:f>
              <c:numCache>
                <c:formatCode>General</c:formatCode>
                <c:ptCount val="17"/>
                <c:pt idx="0">
                  <c:v>0.48730000000000001</c:v>
                </c:pt>
                <c:pt idx="1">
                  <c:v>0.48980000000000001</c:v>
                </c:pt>
                <c:pt idx="2">
                  <c:v>0.49280000000000002</c:v>
                </c:pt>
                <c:pt idx="3">
                  <c:v>0.5121</c:v>
                </c:pt>
                <c:pt idx="4">
                  <c:v>0.5171</c:v>
                </c:pt>
                <c:pt idx="5">
                  <c:v>0.5575</c:v>
                </c:pt>
                <c:pt idx="6">
                  <c:v>0.57889999999999997</c:v>
                </c:pt>
                <c:pt idx="7">
                  <c:v>0.58509999999999995</c:v>
                </c:pt>
                <c:pt idx="8">
                  <c:v>0.6099</c:v>
                </c:pt>
                <c:pt idx="9">
                  <c:v>0.59570000000000001</c:v>
                </c:pt>
                <c:pt idx="10">
                  <c:v>0.58279999999999998</c:v>
                </c:pt>
                <c:pt idx="11">
                  <c:v>0.52849999999999997</c:v>
                </c:pt>
                <c:pt idx="12">
                  <c:v>0.4748</c:v>
                </c:pt>
                <c:pt idx="13">
                  <c:v>0.49630000000000002</c:v>
                </c:pt>
                <c:pt idx="14">
                  <c:v>0.47760000000000002</c:v>
                </c:pt>
                <c:pt idx="15">
                  <c:v>0.49480000000000002</c:v>
                </c:pt>
                <c:pt idx="16">
                  <c:v>0.48049999999999998</c:v>
                </c:pt>
              </c:numCache>
            </c:numRef>
          </c:val>
          <c:smooth val="0"/>
          <c:extLst>
            <c:ext xmlns:c16="http://schemas.microsoft.com/office/drawing/2014/chart" uri="{C3380CC4-5D6E-409C-BE32-E72D297353CC}">
              <c16:uniqueId val="{00000010-4BAF-418F-AC52-DBE8AF6DB9ED}"/>
            </c:ext>
          </c:extLst>
        </c:ser>
        <c:dLbls>
          <c:showLegendKey val="0"/>
          <c:showVal val="0"/>
          <c:showCatName val="0"/>
          <c:showSerName val="0"/>
          <c:showPercent val="0"/>
          <c:showBubbleSize val="0"/>
        </c:dLbls>
        <c:smooth val="0"/>
        <c:axId val="207517184"/>
        <c:axId val="207519144"/>
      </c:lineChart>
      <c:catAx>
        <c:axId val="207517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a:t>
                </a:r>
                <a:r>
                  <a:rPr lang="en-US" baseline="0"/>
                  <a:t> Relative to Ratings Process (Q0)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19144"/>
        <c:crosses val="autoZero"/>
        <c:auto val="1"/>
        <c:lblAlgn val="ctr"/>
        <c:lblOffset val="100"/>
        <c:noMultiLvlLbl val="0"/>
      </c:catAx>
      <c:valAx>
        <c:axId val="207519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1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4</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Total-Debt-to-Total Assets (TD/TA) Ratios for Firms with Downgrades by</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 Prior Credit Watch Placements</a:t>
            </a:r>
            <a:endParaRPr lang="en-US" sz="1200">
              <a:effectLst/>
            </a:endParaRPr>
          </a:p>
        </c:rich>
      </c:tx>
      <c:layout>
        <c:manualLayout>
          <c:xMode val="edge"/>
          <c:yMode val="edge"/>
          <c:x val="0.13770833333333332"/>
          <c:y val="7.843137254901960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TDTA!$CL$51</c:f>
              <c:strCache>
                <c:ptCount val="1"/>
                <c:pt idx="0">
                  <c:v>AAA</c:v>
                </c:pt>
              </c:strCache>
            </c:strRef>
          </c:tx>
          <c:spPr>
            <a:ln w="28575" cap="rnd">
              <a:solidFill>
                <a:schemeClr val="accent1"/>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TDTA!$CL$52:$CL$68</c:f>
              <c:numCache>
                <c:formatCode>General</c:formatCode>
                <c:ptCount val="17"/>
                <c:pt idx="0">
                  <c:v>0.2064</c:v>
                </c:pt>
                <c:pt idx="1">
                  <c:v>0.21279999999999999</c:v>
                </c:pt>
                <c:pt idx="2">
                  <c:v>0.2114</c:v>
                </c:pt>
                <c:pt idx="3">
                  <c:v>0.2099</c:v>
                </c:pt>
                <c:pt idx="4">
                  <c:v>0.2069</c:v>
                </c:pt>
                <c:pt idx="5">
                  <c:v>0.2273</c:v>
                </c:pt>
                <c:pt idx="6">
                  <c:v>0.22950000000000001</c:v>
                </c:pt>
                <c:pt idx="7">
                  <c:v>0.22950000000000001</c:v>
                </c:pt>
                <c:pt idx="8">
                  <c:v>0.26800000000000002</c:v>
                </c:pt>
                <c:pt idx="9">
                  <c:v>0.26840000000000003</c:v>
                </c:pt>
                <c:pt idx="10">
                  <c:v>0.26579999999999998</c:v>
                </c:pt>
                <c:pt idx="11">
                  <c:v>0.25979999999999998</c:v>
                </c:pt>
                <c:pt idx="12">
                  <c:v>0.26319999999999999</c:v>
                </c:pt>
                <c:pt idx="13">
                  <c:v>0.2621</c:v>
                </c:pt>
                <c:pt idx="14">
                  <c:v>0.25779999999999997</c:v>
                </c:pt>
                <c:pt idx="15">
                  <c:v>0.25030000000000002</c:v>
                </c:pt>
                <c:pt idx="16">
                  <c:v>0.25359999999999999</c:v>
                </c:pt>
              </c:numCache>
            </c:numRef>
          </c:val>
          <c:smooth val="0"/>
          <c:extLst>
            <c:ext xmlns:c16="http://schemas.microsoft.com/office/drawing/2014/chart" uri="{C3380CC4-5D6E-409C-BE32-E72D297353CC}">
              <c16:uniqueId val="{00000000-FAA9-42C3-84E8-478FDFA2BA64}"/>
            </c:ext>
          </c:extLst>
        </c:ser>
        <c:ser>
          <c:idx val="1"/>
          <c:order val="1"/>
          <c:tx>
            <c:strRef>
              <c:f>TDTA!$CM$51</c:f>
              <c:strCache>
                <c:ptCount val="1"/>
                <c:pt idx="0">
                  <c:v>AA+</c:v>
                </c:pt>
              </c:strCache>
            </c:strRef>
          </c:tx>
          <c:spPr>
            <a:ln w="28575" cap="rnd">
              <a:solidFill>
                <a:srgbClr val="C0000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TDTA!$CM$52:$CM$68</c:f>
              <c:numCache>
                <c:formatCode>General</c:formatCode>
                <c:ptCount val="17"/>
                <c:pt idx="0">
                  <c:v>0.20100000000000001</c:v>
                </c:pt>
                <c:pt idx="1">
                  <c:v>0.19620000000000001</c:v>
                </c:pt>
                <c:pt idx="2">
                  <c:v>0.20530000000000001</c:v>
                </c:pt>
                <c:pt idx="3">
                  <c:v>0.2006</c:v>
                </c:pt>
                <c:pt idx="4">
                  <c:v>0.20619999999999999</c:v>
                </c:pt>
                <c:pt idx="5">
                  <c:v>0.2142</c:v>
                </c:pt>
                <c:pt idx="6">
                  <c:v>0.21560000000000001</c:v>
                </c:pt>
                <c:pt idx="7">
                  <c:v>0.2092</c:v>
                </c:pt>
                <c:pt idx="8">
                  <c:v>0.22819999999999999</c:v>
                </c:pt>
                <c:pt idx="9">
                  <c:v>0.22520000000000001</c:v>
                </c:pt>
                <c:pt idx="10">
                  <c:v>0.2283</c:v>
                </c:pt>
                <c:pt idx="11">
                  <c:v>0.22589999999999999</c:v>
                </c:pt>
                <c:pt idx="12">
                  <c:v>0.22550000000000001</c:v>
                </c:pt>
                <c:pt idx="13">
                  <c:v>0.22650000000000001</c:v>
                </c:pt>
                <c:pt idx="14">
                  <c:v>0.22839999999999999</c:v>
                </c:pt>
                <c:pt idx="15">
                  <c:v>0.22320000000000001</c:v>
                </c:pt>
                <c:pt idx="16">
                  <c:v>0.22950000000000001</c:v>
                </c:pt>
              </c:numCache>
            </c:numRef>
          </c:val>
          <c:smooth val="0"/>
          <c:extLst>
            <c:ext xmlns:c16="http://schemas.microsoft.com/office/drawing/2014/chart" uri="{C3380CC4-5D6E-409C-BE32-E72D297353CC}">
              <c16:uniqueId val="{00000001-FAA9-42C3-84E8-478FDFA2BA64}"/>
            </c:ext>
          </c:extLst>
        </c:ser>
        <c:ser>
          <c:idx val="2"/>
          <c:order val="2"/>
          <c:tx>
            <c:strRef>
              <c:f>TDTA!$CN$51</c:f>
              <c:strCache>
                <c:ptCount val="1"/>
                <c:pt idx="0">
                  <c:v>AA</c:v>
                </c:pt>
              </c:strCache>
            </c:strRef>
          </c:tx>
          <c:spPr>
            <a:ln w="28575" cap="rnd">
              <a:solidFill>
                <a:srgbClr val="C0000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TDTA!$CN$52:$CN$68</c:f>
              <c:numCache>
                <c:formatCode>General</c:formatCode>
                <c:ptCount val="17"/>
                <c:pt idx="0">
                  <c:v>0.26900000000000002</c:v>
                </c:pt>
                <c:pt idx="1">
                  <c:v>0.27239999999999998</c:v>
                </c:pt>
                <c:pt idx="2">
                  <c:v>0.27929999999999999</c:v>
                </c:pt>
                <c:pt idx="3">
                  <c:v>0.27289999999999998</c:v>
                </c:pt>
                <c:pt idx="4">
                  <c:v>0.27610000000000001</c:v>
                </c:pt>
                <c:pt idx="5">
                  <c:v>0.2787</c:v>
                </c:pt>
                <c:pt idx="6">
                  <c:v>0.2772</c:v>
                </c:pt>
                <c:pt idx="7">
                  <c:v>0.27339999999999998</c:v>
                </c:pt>
                <c:pt idx="8">
                  <c:v>0.28139999999999998</c:v>
                </c:pt>
                <c:pt idx="9">
                  <c:v>0.29659999999999997</c:v>
                </c:pt>
                <c:pt idx="10">
                  <c:v>0.28610000000000002</c:v>
                </c:pt>
                <c:pt idx="11">
                  <c:v>0.29170000000000001</c:v>
                </c:pt>
                <c:pt idx="12">
                  <c:v>0.29020000000000001</c:v>
                </c:pt>
                <c:pt idx="13">
                  <c:v>0.3004</c:v>
                </c:pt>
                <c:pt idx="14">
                  <c:v>0.29249999999999998</c:v>
                </c:pt>
                <c:pt idx="15">
                  <c:v>0.28989999999999999</c:v>
                </c:pt>
                <c:pt idx="16">
                  <c:v>0.29659999999999997</c:v>
                </c:pt>
              </c:numCache>
            </c:numRef>
          </c:val>
          <c:smooth val="0"/>
          <c:extLst>
            <c:ext xmlns:c16="http://schemas.microsoft.com/office/drawing/2014/chart" uri="{C3380CC4-5D6E-409C-BE32-E72D297353CC}">
              <c16:uniqueId val="{00000002-FAA9-42C3-84E8-478FDFA2BA64}"/>
            </c:ext>
          </c:extLst>
        </c:ser>
        <c:ser>
          <c:idx val="3"/>
          <c:order val="3"/>
          <c:tx>
            <c:strRef>
              <c:f>TDTA!$CO$51</c:f>
              <c:strCache>
                <c:ptCount val="1"/>
                <c:pt idx="0">
                  <c:v>AA-</c:v>
                </c:pt>
              </c:strCache>
            </c:strRef>
          </c:tx>
          <c:spPr>
            <a:ln w="28575" cap="rnd">
              <a:solidFill>
                <a:srgbClr val="C0000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TDTA!$CO$52:$CO$68</c:f>
              <c:numCache>
                <c:formatCode>General</c:formatCode>
                <c:ptCount val="17"/>
                <c:pt idx="0">
                  <c:v>0.26840000000000003</c:v>
                </c:pt>
                <c:pt idx="1">
                  <c:v>0.27660000000000001</c:v>
                </c:pt>
                <c:pt idx="2">
                  <c:v>0.27939999999999998</c:v>
                </c:pt>
                <c:pt idx="3">
                  <c:v>0.27929999999999999</c:v>
                </c:pt>
                <c:pt idx="4">
                  <c:v>0.28349999999999997</c:v>
                </c:pt>
                <c:pt idx="5">
                  <c:v>0.28570000000000001</c:v>
                </c:pt>
                <c:pt idx="6">
                  <c:v>0.2883</c:v>
                </c:pt>
                <c:pt idx="7">
                  <c:v>0.29099999999999998</c:v>
                </c:pt>
                <c:pt idx="8">
                  <c:v>0.31490000000000001</c:v>
                </c:pt>
                <c:pt idx="9">
                  <c:v>0.31719999999999998</c:v>
                </c:pt>
                <c:pt idx="10">
                  <c:v>0.31369999999999998</c:v>
                </c:pt>
                <c:pt idx="11">
                  <c:v>0.31330000000000002</c:v>
                </c:pt>
                <c:pt idx="12">
                  <c:v>0.31490000000000001</c:v>
                </c:pt>
                <c:pt idx="13">
                  <c:v>0.31219999999999998</c:v>
                </c:pt>
                <c:pt idx="14">
                  <c:v>0.31030000000000002</c:v>
                </c:pt>
                <c:pt idx="15">
                  <c:v>0.30940000000000001</c:v>
                </c:pt>
                <c:pt idx="16">
                  <c:v>0.30580000000000002</c:v>
                </c:pt>
              </c:numCache>
            </c:numRef>
          </c:val>
          <c:smooth val="0"/>
          <c:extLst>
            <c:ext xmlns:c16="http://schemas.microsoft.com/office/drawing/2014/chart" uri="{C3380CC4-5D6E-409C-BE32-E72D297353CC}">
              <c16:uniqueId val="{00000003-FAA9-42C3-84E8-478FDFA2BA64}"/>
            </c:ext>
          </c:extLst>
        </c:ser>
        <c:ser>
          <c:idx val="4"/>
          <c:order val="4"/>
          <c:tx>
            <c:strRef>
              <c:f>TDTA!$CP$51</c:f>
              <c:strCache>
                <c:ptCount val="1"/>
                <c:pt idx="0">
                  <c:v>A+</c:v>
                </c:pt>
              </c:strCache>
            </c:strRef>
          </c:tx>
          <c:spPr>
            <a:ln w="28575" cap="rnd">
              <a:solidFill>
                <a:srgbClr val="7030A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TDTA!$CP$52:$CP$68</c:f>
              <c:numCache>
                <c:formatCode>General</c:formatCode>
                <c:ptCount val="17"/>
                <c:pt idx="0">
                  <c:v>0.29170000000000001</c:v>
                </c:pt>
                <c:pt idx="1">
                  <c:v>0.29239999999999999</c:v>
                </c:pt>
                <c:pt idx="2">
                  <c:v>0.29549999999999998</c:v>
                </c:pt>
                <c:pt idx="3">
                  <c:v>0.29870000000000002</c:v>
                </c:pt>
                <c:pt idx="4">
                  <c:v>0.29880000000000001</c:v>
                </c:pt>
                <c:pt idx="5">
                  <c:v>0.3054</c:v>
                </c:pt>
                <c:pt idx="6">
                  <c:v>0.30630000000000002</c:v>
                </c:pt>
                <c:pt idx="7">
                  <c:v>0.31969999999999998</c:v>
                </c:pt>
                <c:pt idx="8">
                  <c:v>0.33889999999999998</c:v>
                </c:pt>
                <c:pt idx="9">
                  <c:v>0.33660000000000001</c:v>
                </c:pt>
                <c:pt idx="10">
                  <c:v>0.33110000000000001</c:v>
                </c:pt>
                <c:pt idx="11">
                  <c:v>0.32840000000000003</c:v>
                </c:pt>
                <c:pt idx="12">
                  <c:v>0.3271</c:v>
                </c:pt>
                <c:pt idx="13">
                  <c:v>0.32650000000000001</c:v>
                </c:pt>
                <c:pt idx="14">
                  <c:v>0.3251</c:v>
                </c:pt>
                <c:pt idx="15">
                  <c:v>0.31540000000000001</c:v>
                </c:pt>
                <c:pt idx="16">
                  <c:v>0.31440000000000001</c:v>
                </c:pt>
              </c:numCache>
            </c:numRef>
          </c:val>
          <c:smooth val="0"/>
          <c:extLst>
            <c:ext xmlns:c16="http://schemas.microsoft.com/office/drawing/2014/chart" uri="{C3380CC4-5D6E-409C-BE32-E72D297353CC}">
              <c16:uniqueId val="{00000004-FAA9-42C3-84E8-478FDFA2BA64}"/>
            </c:ext>
          </c:extLst>
        </c:ser>
        <c:ser>
          <c:idx val="5"/>
          <c:order val="5"/>
          <c:tx>
            <c:strRef>
              <c:f>TDTA!$CQ$51</c:f>
              <c:strCache>
                <c:ptCount val="1"/>
                <c:pt idx="0">
                  <c:v>A</c:v>
                </c:pt>
              </c:strCache>
            </c:strRef>
          </c:tx>
          <c:spPr>
            <a:ln w="28575" cap="rnd">
              <a:solidFill>
                <a:srgbClr val="7030A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TDTA!$CQ$52:$CQ$68</c:f>
              <c:numCache>
                <c:formatCode>General</c:formatCode>
                <c:ptCount val="17"/>
                <c:pt idx="0">
                  <c:v>0.29189999999999999</c:v>
                </c:pt>
                <c:pt idx="1">
                  <c:v>0.2883</c:v>
                </c:pt>
                <c:pt idx="2">
                  <c:v>0.2949</c:v>
                </c:pt>
                <c:pt idx="3">
                  <c:v>0.29370000000000002</c:v>
                </c:pt>
                <c:pt idx="4">
                  <c:v>0.30270000000000002</c:v>
                </c:pt>
                <c:pt idx="5">
                  <c:v>0.30159999999999998</c:v>
                </c:pt>
                <c:pt idx="6">
                  <c:v>0.30559999999999998</c:v>
                </c:pt>
                <c:pt idx="7">
                  <c:v>0.30940000000000001</c:v>
                </c:pt>
                <c:pt idx="8">
                  <c:v>0.33239999999999997</c:v>
                </c:pt>
                <c:pt idx="9">
                  <c:v>0.33429999999999999</c:v>
                </c:pt>
                <c:pt idx="10">
                  <c:v>0.33100000000000002</c:v>
                </c:pt>
                <c:pt idx="11">
                  <c:v>0.32840000000000003</c:v>
                </c:pt>
                <c:pt idx="12">
                  <c:v>0.33040000000000003</c:v>
                </c:pt>
                <c:pt idx="13">
                  <c:v>0.33150000000000002</c:v>
                </c:pt>
                <c:pt idx="14">
                  <c:v>0.3286</c:v>
                </c:pt>
                <c:pt idx="15">
                  <c:v>0.32090000000000002</c:v>
                </c:pt>
                <c:pt idx="16">
                  <c:v>0.32490000000000002</c:v>
                </c:pt>
              </c:numCache>
            </c:numRef>
          </c:val>
          <c:smooth val="0"/>
          <c:extLst>
            <c:ext xmlns:c16="http://schemas.microsoft.com/office/drawing/2014/chart" uri="{C3380CC4-5D6E-409C-BE32-E72D297353CC}">
              <c16:uniqueId val="{00000005-FAA9-42C3-84E8-478FDFA2BA64}"/>
            </c:ext>
          </c:extLst>
        </c:ser>
        <c:ser>
          <c:idx val="6"/>
          <c:order val="6"/>
          <c:tx>
            <c:strRef>
              <c:f>TDTA!$CR$51</c:f>
              <c:strCache>
                <c:ptCount val="1"/>
                <c:pt idx="0">
                  <c:v>A-</c:v>
                </c:pt>
              </c:strCache>
            </c:strRef>
          </c:tx>
          <c:spPr>
            <a:ln w="28575" cap="rnd">
              <a:solidFill>
                <a:srgbClr val="7030A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TDTA!$CR$52:$CR$68</c:f>
              <c:numCache>
                <c:formatCode>General</c:formatCode>
                <c:ptCount val="17"/>
                <c:pt idx="0">
                  <c:v>0.30890000000000001</c:v>
                </c:pt>
                <c:pt idx="1">
                  <c:v>0.30959999999999999</c:v>
                </c:pt>
                <c:pt idx="2">
                  <c:v>0.31509999999999999</c:v>
                </c:pt>
                <c:pt idx="3">
                  <c:v>0.31269999999999998</c:v>
                </c:pt>
                <c:pt idx="4">
                  <c:v>0.31330000000000002</c:v>
                </c:pt>
                <c:pt idx="5">
                  <c:v>0.31659999999999999</c:v>
                </c:pt>
                <c:pt idx="6">
                  <c:v>0.31990000000000002</c:v>
                </c:pt>
                <c:pt idx="7">
                  <c:v>0.32229999999999998</c:v>
                </c:pt>
                <c:pt idx="8">
                  <c:v>0.33800000000000002</c:v>
                </c:pt>
                <c:pt idx="9">
                  <c:v>0.34470000000000001</c:v>
                </c:pt>
                <c:pt idx="10">
                  <c:v>0.34200000000000003</c:v>
                </c:pt>
                <c:pt idx="11">
                  <c:v>0.33439999999999998</c:v>
                </c:pt>
                <c:pt idx="12">
                  <c:v>0.33479999999999999</c:v>
                </c:pt>
                <c:pt idx="13">
                  <c:v>0.33329999999999999</c:v>
                </c:pt>
                <c:pt idx="14">
                  <c:v>0.32940000000000003</c:v>
                </c:pt>
                <c:pt idx="15">
                  <c:v>0.32950000000000002</c:v>
                </c:pt>
                <c:pt idx="16">
                  <c:v>0.3301</c:v>
                </c:pt>
              </c:numCache>
            </c:numRef>
          </c:val>
          <c:smooth val="0"/>
          <c:extLst>
            <c:ext xmlns:c16="http://schemas.microsoft.com/office/drawing/2014/chart" uri="{C3380CC4-5D6E-409C-BE32-E72D297353CC}">
              <c16:uniqueId val="{00000006-FAA9-42C3-84E8-478FDFA2BA64}"/>
            </c:ext>
          </c:extLst>
        </c:ser>
        <c:ser>
          <c:idx val="7"/>
          <c:order val="7"/>
          <c:tx>
            <c:strRef>
              <c:f>TDTA!$CS$51</c:f>
              <c:strCache>
                <c:ptCount val="1"/>
                <c:pt idx="0">
                  <c:v>BBB+</c:v>
                </c:pt>
              </c:strCache>
            </c:strRef>
          </c:tx>
          <c:spPr>
            <a:ln w="28575" cap="rnd">
              <a:solidFill>
                <a:srgbClr val="FFC00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TDTA!$CS$52:$CS$68</c:f>
              <c:numCache>
                <c:formatCode>General</c:formatCode>
                <c:ptCount val="17"/>
                <c:pt idx="0">
                  <c:v>0.308</c:v>
                </c:pt>
                <c:pt idx="1">
                  <c:v>0.30869999999999997</c:v>
                </c:pt>
                <c:pt idx="2">
                  <c:v>0.30969999999999998</c:v>
                </c:pt>
                <c:pt idx="3">
                  <c:v>0.30919999999999997</c:v>
                </c:pt>
                <c:pt idx="4">
                  <c:v>0.31580000000000003</c:v>
                </c:pt>
                <c:pt idx="5">
                  <c:v>0.31690000000000002</c:v>
                </c:pt>
                <c:pt idx="6">
                  <c:v>0.32250000000000001</c:v>
                </c:pt>
                <c:pt idx="7">
                  <c:v>0.32340000000000002</c:v>
                </c:pt>
                <c:pt idx="8">
                  <c:v>0.33929999999999999</c:v>
                </c:pt>
                <c:pt idx="9">
                  <c:v>0.3397</c:v>
                </c:pt>
                <c:pt idx="10">
                  <c:v>0.33550000000000002</c:v>
                </c:pt>
                <c:pt idx="11">
                  <c:v>0.3342</c:v>
                </c:pt>
                <c:pt idx="12">
                  <c:v>0.33329999999999999</c:v>
                </c:pt>
                <c:pt idx="13">
                  <c:v>0.33260000000000001</c:v>
                </c:pt>
                <c:pt idx="14">
                  <c:v>0.33250000000000002</c:v>
                </c:pt>
                <c:pt idx="15">
                  <c:v>0.33129999999999998</c:v>
                </c:pt>
                <c:pt idx="16">
                  <c:v>0.32829999999999998</c:v>
                </c:pt>
              </c:numCache>
            </c:numRef>
          </c:val>
          <c:smooth val="0"/>
          <c:extLst>
            <c:ext xmlns:c16="http://schemas.microsoft.com/office/drawing/2014/chart" uri="{C3380CC4-5D6E-409C-BE32-E72D297353CC}">
              <c16:uniqueId val="{00000007-FAA9-42C3-84E8-478FDFA2BA64}"/>
            </c:ext>
          </c:extLst>
        </c:ser>
        <c:ser>
          <c:idx val="8"/>
          <c:order val="8"/>
          <c:tx>
            <c:strRef>
              <c:f>TDTA!$CT$51</c:f>
              <c:strCache>
                <c:ptCount val="1"/>
                <c:pt idx="0">
                  <c:v>BBB</c:v>
                </c:pt>
              </c:strCache>
            </c:strRef>
          </c:tx>
          <c:spPr>
            <a:ln w="28575" cap="rnd">
              <a:solidFill>
                <a:srgbClr val="FFC00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TDTA!$CT$52:$CT$68</c:f>
              <c:numCache>
                <c:formatCode>General</c:formatCode>
                <c:ptCount val="17"/>
                <c:pt idx="0">
                  <c:v>0.2974</c:v>
                </c:pt>
                <c:pt idx="1">
                  <c:v>0.29870000000000002</c:v>
                </c:pt>
                <c:pt idx="2">
                  <c:v>0.30180000000000001</c:v>
                </c:pt>
                <c:pt idx="3">
                  <c:v>0.31119999999999998</c:v>
                </c:pt>
                <c:pt idx="4">
                  <c:v>0.316</c:v>
                </c:pt>
                <c:pt idx="5">
                  <c:v>0.31780000000000003</c:v>
                </c:pt>
                <c:pt idx="6">
                  <c:v>0.3226</c:v>
                </c:pt>
                <c:pt idx="7">
                  <c:v>0.32119999999999999</c:v>
                </c:pt>
                <c:pt idx="8">
                  <c:v>0.33650000000000002</c:v>
                </c:pt>
                <c:pt idx="9">
                  <c:v>0.34749999999999998</c:v>
                </c:pt>
                <c:pt idx="10">
                  <c:v>0.3523</c:v>
                </c:pt>
                <c:pt idx="11">
                  <c:v>0.34560000000000002</c:v>
                </c:pt>
                <c:pt idx="12">
                  <c:v>0.33090000000000003</c:v>
                </c:pt>
                <c:pt idx="13">
                  <c:v>0.33040000000000003</c:v>
                </c:pt>
                <c:pt idx="14">
                  <c:v>0.3236</c:v>
                </c:pt>
                <c:pt idx="15">
                  <c:v>0.32400000000000001</c:v>
                </c:pt>
                <c:pt idx="16">
                  <c:v>0.32029999999999997</c:v>
                </c:pt>
              </c:numCache>
            </c:numRef>
          </c:val>
          <c:smooth val="0"/>
          <c:extLst>
            <c:ext xmlns:c16="http://schemas.microsoft.com/office/drawing/2014/chart" uri="{C3380CC4-5D6E-409C-BE32-E72D297353CC}">
              <c16:uniqueId val="{00000008-FAA9-42C3-84E8-478FDFA2BA64}"/>
            </c:ext>
          </c:extLst>
        </c:ser>
        <c:ser>
          <c:idx val="9"/>
          <c:order val="9"/>
          <c:tx>
            <c:strRef>
              <c:f>TDTA!$CU$51</c:f>
              <c:strCache>
                <c:ptCount val="1"/>
                <c:pt idx="0">
                  <c:v>BBB-</c:v>
                </c:pt>
              </c:strCache>
            </c:strRef>
          </c:tx>
          <c:spPr>
            <a:ln w="28575" cap="rnd">
              <a:solidFill>
                <a:srgbClr val="FFC00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TDTA!$CU$52:$CU$68</c:f>
              <c:numCache>
                <c:formatCode>General</c:formatCode>
                <c:ptCount val="17"/>
                <c:pt idx="0">
                  <c:v>0.31130000000000002</c:v>
                </c:pt>
                <c:pt idx="1">
                  <c:v>0.31459999999999999</c:v>
                </c:pt>
                <c:pt idx="2">
                  <c:v>0.31859999999999999</c:v>
                </c:pt>
                <c:pt idx="3">
                  <c:v>0.3231</c:v>
                </c:pt>
                <c:pt idx="4">
                  <c:v>0.32279999999999998</c:v>
                </c:pt>
                <c:pt idx="5">
                  <c:v>0.32990000000000003</c:v>
                </c:pt>
                <c:pt idx="6">
                  <c:v>0.33589999999999998</c:v>
                </c:pt>
                <c:pt idx="7">
                  <c:v>0.34589999999999999</c:v>
                </c:pt>
                <c:pt idx="8">
                  <c:v>0.36049999999999999</c:v>
                </c:pt>
                <c:pt idx="9">
                  <c:v>0.3725</c:v>
                </c:pt>
                <c:pt idx="10">
                  <c:v>0.372</c:v>
                </c:pt>
                <c:pt idx="11">
                  <c:v>0.36709999999999998</c:v>
                </c:pt>
                <c:pt idx="12">
                  <c:v>0.37340000000000001</c:v>
                </c:pt>
                <c:pt idx="13">
                  <c:v>0.37330000000000002</c:v>
                </c:pt>
                <c:pt idx="14">
                  <c:v>0.36649999999999999</c:v>
                </c:pt>
                <c:pt idx="15">
                  <c:v>0.36030000000000001</c:v>
                </c:pt>
                <c:pt idx="16">
                  <c:v>0.35799999999999998</c:v>
                </c:pt>
              </c:numCache>
            </c:numRef>
          </c:val>
          <c:smooth val="0"/>
          <c:extLst>
            <c:ext xmlns:c16="http://schemas.microsoft.com/office/drawing/2014/chart" uri="{C3380CC4-5D6E-409C-BE32-E72D297353CC}">
              <c16:uniqueId val="{00000009-FAA9-42C3-84E8-478FDFA2BA64}"/>
            </c:ext>
          </c:extLst>
        </c:ser>
        <c:ser>
          <c:idx val="10"/>
          <c:order val="10"/>
          <c:tx>
            <c:strRef>
              <c:f>TDTA!$CV$51</c:f>
              <c:strCache>
                <c:ptCount val="1"/>
                <c:pt idx="0">
                  <c:v>BB+</c:v>
                </c:pt>
              </c:strCache>
            </c:strRef>
          </c:tx>
          <c:spPr>
            <a:ln w="28575" cap="rnd">
              <a:solidFill>
                <a:srgbClr val="00206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TDTA!$CV$52:$CV$68</c:f>
              <c:numCache>
                <c:formatCode>General</c:formatCode>
                <c:ptCount val="17"/>
                <c:pt idx="0">
                  <c:v>0.31940000000000002</c:v>
                </c:pt>
                <c:pt idx="1">
                  <c:v>0.3206</c:v>
                </c:pt>
                <c:pt idx="2">
                  <c:v>0.32169999999999999</c:v>
                </c:pt>
                <c:pt idx="3">
                  <c:v>0.3327</c:v>
                </c:pt>
                <c:pt idx="4">
                  <c:v>0.33610000000000001</c:v>
                </c:pt>
                <c:pt idx="5">
                  <c:v>0.34429999999999999</c:v>
                </c:pt>
                <c:pt idx="6">
                  <c:v>0.35239999999999999</c:v>
                </c:pt>
                <c:pt idx="7">
                  <c:v>0.36499999999999999</c:v>
                </c:pt>
                <c:pt idx="8">
                  <c:v>0.38350000000000001</c:v>
                </c:pt>
                <c:pt idx="9">
                  <c:v>0.38529999999999998</c:v>
                </c:pt>
                <c:pt idx="10">
                  <c:v>0.38519999999999999</c:v>
                </c:pt>
                <c:pt idx="11">
                  <c:v>0.37890000000000001</c:v>
                </c:pt>
                <c:pt idx="12">
                  <c:v>0.37230000000000002</c:v>
                </c:pt>
                <c:pt idx="13">
                  <c:v>0.36220000000000002</c:v>
                </c:pt>
                <c:pt idx="14">
                  <c:v>0.36030000000000001</c:v>
                </c:pt>
                <c:pt idx="15">
                  <c:v>0.35420000000000001</c:v>
                </c:pt>
                <c:pt idx="16">
                  <c:v>0.3508</c:v>
                </c:pt>
              </c:numCache>
            </c:numRef>
          </c:val>
          <c:smooth val="0"/>
          <c:extLst>
            <c:ext xmlns:c16="http://schemas.microsoft.com/office/drawing/2014/chart" uri="{C3380CC4-5D6E-409C-BE32-E72D297353CC}">
              <c16:uniqueId val="{0000000A-FAA9-42C3-84E8-478FDFA2BA64}"/>
            </c:ext>
          </c:extLst>
        </c:ser>
        <c:ser>
          <c:idx val="11"/>
          <c:order val="11"/>
          <c:tx>
            <c:strRef>
              <c:f>TDTA!$CW$51</c:f>
              <c:strCache>
                <c:ptCount val="1"/>
                <c:pt idx="0">
                  <c:v>BB</c:v>
                </c:pt>
              </c:strCache>
            </c:strRef>
          </c:tx>
          <c:spPr>
            <a:ln w="28575" cap="rnd">
              <a:solidFill>
                <a:srgbClr val="00206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TDTA!$CW$52:$CW$68</c:f>
              <c:numCache>
                <c:formatCode>General</c:formatCode>
                <c:ptCount val="17"/>
                <c:pt idx="0">
                  <c:v>0.3579</c:v>
                </c:pt>
                <c:pt idx="1">
                  <c:v>0.36609999999999998</c:v>
                </c:pt>
                <c:pt idx="2">
                  <c:v>0.37119999999999997</c:v>
                </c:pt>
                <c:pt idx="3">
                  <c:v>0.36820000000000003</c:v>
                </c:pt>
                <c:pt idx="4">
                  <c:v>0.37059999999999998</c:v>
                </c:pt>
                <c:pt idx="5">
                  <c:v>0.37280000000000002</c:v>
                </c:pt>
                <c:pt idx="6">
                  <c:v>0.38490000000000002</c:v>
                </c:pt>
                <c:pt idx="7">
                  <c:v>0.3931</c:v>
                </c:pt>
                <c:pt idx="8">
                  <c:v>0.4153</c:v>
                </c:pt>
                <c:pt idx="9">
                  <c:v>0.41889999999999999</c:v>
                </c:pt>
                <c:pt idx="10">
                  <c:v>0.41339999999999999</c:v>
                </c:pt>
                <c:pt idx="11">
                  <c:v>0.41210000000000002</c:v>
                </c:pt>
                <c:pt idx="12">
                  <c:v>0.40600000000000003</c:v>
                </c:pt>
                <c:pt idx="13">
                  <c:v>0.39689999999999998</c:v>
                </c:pt>
                <c:pt idx="14">
                  <c:v>0.3896</c:v>
                </c:pt>
                <c:pt idx="15">
                  <c:v>0.39439999999999997</c:v>
                </c:pt>
                <c:pt idx="16">
                  <c:v>0.4047</c:v>
                </c:pt>
              </c:numCache>
            </c:numRef>
          </c:val>
          <c:smooth val="0"/>
          <c:extLst>
            <c:ext xmlns:c16="http://schemas.microsoft.com/office/drawing/2014/chart" uri="{C3380CC4-5D6E-409C-BE32-E72D297353CC}">
              <c16:uniqueId val="{0000000B-FAA9-42C3-84E8-478FDFA2BA64}"/>
            </c:ext>
          </c:extLst>
        </c:ser>
        <c:ser>
          <c:idx val="12"/>
          <c:order val="12"/>
          <c:tx>
            <c:strRef>
              <c:f>TDTA!$CX$51</c:f>
              <c:strCache>
                <c:ptCount val="1"/>
                <c:pt idx="0">
                  <c:v>BB-</c:v>
                </c:pt>
              </c:strCache>
            </c:strRef>
          </c:tx>
          <c:spPr>
            <a:ln w="28575" cap="rnd">
              <a:solidFill>
                <a:srgbClr val="00206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TDTA!$CX$52:$CX$68</c:f>
              <c:numCache>
                <c:formatCode>General</c:formatCode>
                <c:ptCount val="17"/>
                <c:pt idx="0">
                  <c:v>0.40579999999999999</c:v>
                </c:pt>
                <c:pt idx="1">
                  <c:v>0.40029999999999999</c:v>
                </c:pt>
                <c:pt idx="2">
                  <c:v>0.4032</c:v>
                </c:pt>
                <c:pt idx="3">
                  <c:v>0.41060000000000002</c:v>
                </c:pt>
                <c:pt idx="4">
                  <c:v>0.42320000000000002</c:v>
                </c:pt>
                <c:pt idx="5">
                  <c:v>0.4269</c:v>
                </c:pt>
                <c:pt idx="6">
                  <c:v>0.43730000000000002</c:v>
                </c:pt>
                <c:pt idx="7">
                  <c:v>0.4521</c:v>
                </c:pt>
                <c:pt idx="8">
                  <c:v>0.48139999999999999</c:v>
                </c:pt>
                <c:pt idx="9">
                  <c:v>0.48880000000000001</c:v>
                </c:pt>
                <c:pt idx="10">
                  <c:v>0.48020000000000002</c:v>
                </c:pt>
                <c:pt idx="11">
                  <c:v>0.47089999999999999</c:v>
                </c:pt>
                <c:pt idx="12">
                  <c:v>0.4703</c:v>
                </c:pt>
                <c:pt idx="13">
                  <c:v>0.46860000000000002</c:v>
                </c:pt>
                <c:pt idx="14">
                  <c:v>0.45700000000000002</c:v>
                </c:pt>
                <c:pt idx="15">
                  <c:v>0.45590000000000003</c:v>
                </c:pt>
                <c:pt idx="16">
                  <c:v>0.44840000000000002</c:v>
                </c:pt>
              </c:numCache>
            </c:numRef>
          </c:val>
          <c:smooth val="0"/>
          <c:extLst>
            <c:ext xmlns:c16="http://schemas.microsoft.com/office/drawing/2014/chart" uri="{C3380CC4-5D6E-409C-BE32-E72D297353CC}">
              <c16:uniqueId val="{0000000C-FAA9-42C3-84E8-478FDFA2BA64}"/>
            </c:ext>
          </c:extLst>
        </c:ser>
        <c:ser>
          <c:idx val="13"/>
          <c:order val="13"/>
          <c:tx>
            <c:strRef>
              <c:f>TDTA!$CY$51</c:f>
              <c:strCache>
                <c:ptCount val="1"/>
                <c:pt idx="0">
                  <c:v>B+</c:v>
                </c:pt>
              </c:strCache>
            </c:strRef>
          </c:tx>
          <c:spPr>
            <a:ln w="28575" cap="rnd">
              <a:solidFill>
                <a:srgbClr val="92D05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TDTA!$CY$52:$CY$68</c:f>
              <c:numCache>
                <c:formatCode>General</c:formatCode>
                <c:ptCount val="17"/>
                <c:pt idx="0">
                  <c:v>0.4219</c:v>
                </c:pt>
                <c:pt idx="1">
                  <c:v>0.42759999999999998</c:v>
                </c:pt>
                <c:pt idx="2">
                  <c:v>0.435</c:v>
                </c:pt>
                <c:pt idx="3">
                  <c:v>0.44019999999999998</c:v>
                </c:pt>
                <c:pt idx="4">
                  <c:v>0.44700000000000001</c:v>
                </c:pt>
                <c:pt idx="5">
                  <c:v>0.45679999999999998</c:v>
                </c:pt>
                <c:pt idx="6">
                  <c:v>0.47310000000000002</c:v>
                </c:pt>
                <c:pt idx="7">
                  <c:v>0.48830000000000001</c:v>
                </c:pt>
                <c:pt idx="8">
                  <c:v>0.50670000000000004</c:v>
                </c:pt>
                <c:pt idx="9">
                  <c:v>0.50929999999999997</c:v>
                </c:pt>
                <c:pt idx="10">
                  <c:v>0.4889</c:v>
                </c:pt>
                <c:pt idx="11">
                  <c:v>0.4783</c:v>
                </c:pt>
                <c:pt idx="12">
                  <c:v>0.48209999999999997</c:v>
                </c:pt>
                <c:pt idx="13">
                  <c:v>0.47610000000000002</c:v>
                </c:pt>
                <c:pt idx="14">
                  <c:v>0.46339999999999998</c:v>
                </c:pt>
                <c:pt idx="15">
                  <c:v>0.46139999999999998</c:v>
                </c:pt>
                <c:pt idx="16">
                  <c:v>0.45929999999999999</c:v>
                </c:pt>
              </c:numCache>
            </c:numRef>
          </c:val>
          <c:smooth val="0"/>
          <c:extLst>
            <c:ext xmlns:c16="http://schemas.microsoft.com/office/drawing/2014/chart" uri="{C3380CC4-5D6E-409C-BE32-E72D297353CC}">
              <c16:uniqueId val="{0000000D-FAA9-42C3-84E8-478FDFA2BA64}"/>
            </c:ext>
          </c:extLst>
        </c:ser>
        <c:ser>
          <c:idx val="14"/>
          <c:order val="14"/>
          <c:tx>
            <c:strRef>
              <c:f>TDTA!$CZ$51</c:f>
              <c:strCache>
                <c:ptCount val="1"/>
                <c:pt idx="0">
                  <c:v>B</c:v>
                </c:pt>
              </c:strCache>
            </c:strRef>
          </c:tx>
          <c:spPr>
            <a:ln w="28575" cap="rnd">
              <a:solidFill>
                <a:srgbClr val="92D05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TDTA!$CZ$52:$CZ$68</c:f>
              <c:numCache>
                <c:formatCode>General</c:formatCode>
                <c:ptCount val="17"/>
                <c:pt idx="0">
                  <c:v>0.41739999999999999</c:v>
                </c:pt>
                <c:pt idx="1">
                  <c:v>0.436</c:v>
                </c:pt>
                <c:pt idx="2">
                  <c:v>0.44359999999999999</c:v>
                </c:pt>
                <c:pt idx="3">
                  <c:v>0.45150000000000001</c:v>
                </c:pt>
                <c:pt idx="4">
                  <c:v>0.46060000000000001</c:v>
                </c:pt>
                <c:pt idx="5">
                  <c:v>0.4642</c:v>
                </c:pt>
                <c:pt idx="6">
                  <c:v>0.48110000000000003</c:v>
                </c:pt>
                <c:pt idx="7">
                  <c:v>0.5161</c:v>
                </c:pt>
                <c:pt idx="8">
                  <c:v>0.52410000000000001</c:v>
                </c:pt>
                <c:pt idx="9">
                  <c:v>0.49009999999999998</c:v>
                </c:pt>
                <c:pt idx="10">
                  <c:v>0.47149999999999997</c:v>
                </c:pt>
                <c:pt idx="11">
                  <c:v>0.4592</c:v>
                </c:pt>
                <c:pt idx="12">
                  <c:v>0.41589999999999999</c:v>
                </c:pt>
                <c:pt idx="13">
                  <c:v>0.40789999999999998</c:v>
                </c:pt>
                <c:pt idx="14">
                  <c:v>0.4042</c:v>
                </c:pt>
                <c:pt idx="15">
                  <c:v>0.39539999999999997</c:v>
                </c:pt>
                <c:pt idx="16">
                  <c:v>0.39379999999999998</c:v>
                </c:pt>
              </c:numCache>
            </c:numRef>
          </c:val>
          <c:smooth val="0"/>
          <c:extLst>
            <c:ext xmlns:c16="http://schemas.microsoft.com/office/drawing/2014/chart" uri="{C3380CC4-5D6E-409C-BE32-E72D297353CC}">
              <c16:uniqueId val="{0000000E-FAA9-42C3-84E8-478FDFA2BA64}"/>
            </c:ext>
          </c:extLst>
        </c:ser>
        <c:ser>
          <c:idx val="15"/>
          <c:order val="15"/>
          <c:tx>
            <c:strRef>
              <c:f>TDTA!$DA$51</c:f>
              <c:strCache>
                <c:ptCount val="1"/>
                <c:pt idx="0">
                  <c:v>B_-</c:v>
                </c:pt>
              </c:strCache>
            </c:strRef>
          </c:tx>
          <c:spPr>
            <a:ln w="28575" cap="rnd">
              <a:solidFill>
                <a:srgbClr val="92D05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TDTA!$DA$52:$DA$68</c:f>
              <c:numCache>
                <c:formatCode>General</c:formatCode>
                <c:ptCount val="17"/>
                <c:pt idx="0">
                  <c:v>0.46839999999999998</c:v>
                </c:pt>
                <c:pt idx="1">
                  <c:v>0.47549999999999998</c:v>
                </c:pt>
                <c:pt idx="2">
                  <c:v>0.47520000000000001</c:v>
                </c:pt>
                <c:pt idx="3">
                  <c:v>0.48370000000000002</c:v>
                </c:pt>
                <c:pt idx="4">
                  <c:v>0.49590000000000001</c:v>
                </c:pt>
                <c:pt idx="5">
                  <c:v>0.51019999999999999</c:v>
                </c:pt>
                <c:pt idx="6">
                  <c:v>0.53</c:v>
                </c:pt>
                <c:pt idx="7">
                  <c:v>0.55269999999999997</c:v>
                </c:pt>
                <c:pt idx="8">
                  <c:v>0.56469999999999998</c:v>
                </c:pt>
                <c:pt idx="9">
                  <c:v>0.54600000000000004</c:v>
                </c:pt>
                <c:pt idx="10">
                  <c:v>0.49609999999999999</c:v>
                </c:pt>
                <c:pt idx="11">
                  <c:v>0.46660000000000001</c:v>
                </c:pt>
                <c:pt idx="12">
                  <c:v>0.4506</c:v>
                </c:pt>
                <c:pt idx="13">
                  <c:v>0.42030000000000001</c:v>
                </c:pt>
                <c:pt idx="14">
                  <c:v>0.43709999999999999</c:v>
                </c:pt>
                <c:pt idx="15">
                  <c:v>0.43290000000000001</c:v>
                </c:pt>
                <c:pt idx="16">
                  <c:v>0.443</c:v>
                </c:pt>
              </c:numCache>
            </c:numRef>
          </c:val>
          <c:smooth val="0"/>
          <c:extLst>
            <c:ext xmlns:c16="http://schemas.microsoft.com/office/drawing/2014/chart" uri="{C3380CC4-5D6E-409C-BE32-E72D297353CC}">
              <c16:uniqueId val="{0000000F-FAA9-42C3-84E8-478FDFA2BA64}"/>
            </c:ext>
          </c:extLst>
        </c:ser>
        <c:ser>
          <c:idx val="16"/>
          <c:order val="16"/>
          <c:tx>
            <c:strRef>
              <c:f>TDTA!$DB$51</c:f>
              <c:strCache>
                <c:ptCount val="1"/>
                <c:pt idx="0">
                  <c:v>CCC+</c:v>
                </c:pt>
              </c:strCache>
            </c:strRef>
          </c:tx>
          <c:spPr>
            <a:ln w="28575" cap="rnd">
              <a:solidFill>
                <a:srgbClr val="00B0F0"/>
              </a:solidFill>
              <a:prstDash val="sysDot"/>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TDTA!$DB$52:$DB$68</c:f>
              <c:numCache>
                <c:formatCode>General</c:formatCode>
                <c:ptCount val="17"/>
                <c:pt idx="0">
                  <c:v>0.5091</c:v>
                </c:pt>
                <c:pt idx="1">
                  <c:v>0.52239999999999998</c:v>
                </c:pt>
                <c:pt idx="2">
                  <c:v>0.53920000000000001</c:v>
                </c:pt>
                <c:pt idx="3">
                  <c:v>0.54039999999999999</c:v>
                </c:pt>
                <c:pt idx="4">
                  <c:v>0.56769999999999998</c:v>
                </c:pt>
                <c:pt idx="5">
                  <c:v>0.59160000000000001</c:v>
                </c:pt>
                <c:pt idx="6">
                  <c:v>0.6038</c:v>
                </c:pt>
                <c:pt idx="7">
                  <c:v>0.63329999999999997</c:v>
                </c:pt>
                <c:pt idx="8">
                  <c:v>0.57969999999999999</c:v>
                </c:pt>
                <c:pt idx="9">
                  <c:v>0.55449999999999999</c:v>
                </c:pt>
                <c:pt idx="10">
                  <c:v>0.49020000000000002</c:v>
                </c:pt>
                <c:pt idx="11">
                  <c:v>0.47060000000000002</c:v>
                </c:pt>
                <c:pt idx="12">
                  <c:v>0.50460000000000005</c:v>
                </c:pt>
                <c:pt idx="13">
                  <c:v>0.4698</c:v>
                </c:pt>
                <c:pt idx="14">
                  <c:v>0.46750000000000003</c:v>
                </c:pt>
                <c:pt idx="15">
                  <c:v>0.46010000000000001</c:v>
                </c:pt>
                <c:pt idx="16">
                  <c:v>0.4798</c:v>
                </c:pt>
              </c:numCache>
            </c:numRef>
          </c:val>
          <c:smooth val="0"/>
          <c:extLst>
            <c:ext xmlns:c16="http://schemas.microsoft.com/office/drawing/2014/chart" uri="{C3380CC4-5D6E-409C-BE32-E72D297353CC}">
              <c16:uniqueId val="{00000010-FAA9-42C3-84E8-478FDFA2BA64}"/>
            </c:ext>
          </c:extLst>
        </c:ser>
        <c:ser>
          <c:idx val="17"/>
          <c:order val="17"/>
          <c:tx>
            <c:strRef>
              <c:f>TDTA!$DC$51</c:f>
              <c:strCache>
                <c:ptCount val="1"/>
                <c:pt idx="0">
                  <c:v>CCC</c:v>
                </c:pt>
              </c:strCache>
            </c:strRef>
          </c:tx>
          <c:spPr>
            <a:ln w="28575" cap="rnd">
              <a:solidFill>
                <a:srgbClr val="00B0F0"/>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TDTA!$DC$52:$DC$68</c:f>
              <c:numCache>
                <c:formatCode>General</c:formatCode>
                <c:ptCount val="17"/>
                <c:pt idx="0">
                  <c:v>0.46660000000000001</c:v>
                </c:pt>
                <c:pt idx="1">
                  <c:v>0.47539999999999999</c:v>
                </c:pt>
                <c:pt idx="2">
                  <c:v>0.4884</c:v>
                </c:pt>
                <c:pt idx="3">
                  <c:v>0.49490000000000001</c:v>
                </c:pt>
                <c:pt idx="4">
                  <c:v>0.51680000000000004</c:v>
                </c:pt>
                <c:pt idx="5">
                  <c:v>0.53600000000000003</c:v>
                </c:pt>
                <c:pt idx="6">
                  <c:v>0.55979999999999996</c:v>
                </c:pt>
                <c:pt idx="7">
                  <c:v>0.55410000000000004</c:v>
                </c:pt>
                <c:pt idx="8">
                  <c:v>0.52900000000000003</c:v>
                </c:pt>
                <c:pt idx="9">
                  <c:v>0.4219</c:v>
                </c:pt>
                <c:pt idx="10">
                  <c:v>0.37569999999999998</c:v>
                </c:pt>
                <c:pt idx="11">
                  <c:v>0.3654</c:v>
                </c:pt>
                <c:pt idx="12">
                  <c:v>0.34510000000000002</c:v>
                </c:pt>
                <c:pt idx="13">
                  <c:v>0.40489999999999998</c:v>
                </c:pt>
                <c:pt idx="14">
                  <c:v>0.3841</c:v>
                </c:pt>
                <c:pt idx="15">
                  <c:v>0.40500000000000003</c:v>
                </c:pt>
                <c:pt idx="16">
                  <c:v>0.42149999999999999</c:v>
                </c:pt>
              </c:numCache>
            </c:numRef>
          </c:val>
          <c:smooth val="0"/>
          <c:extLst>
            <c:ext xmlns:c16="http://schemas.microsoft.com/office/drawing/2014/chart" uri="{C3380CC4-5D6E-409C-BE32-E72D297353CC}">
              <c16:uniqueId val="{00000011-FAA9-42C3-84E8-478FDFA2BA64}"/>
            </c:ext>
          </c:extLst>
        </c:ser>
        <c:ser>
          <c:idx val="18"/>
          <c:order val="18"/>
          <c:tx>
            <c:strRef>
              <c:f>TDTA!$DD$51</c:f>
              <c:strCache>
                <c:ptCount val="1"/>
                <c:pt idx="0">
                  <c:v>CCC-</c:v>
                </c:pt>
              </c:strCache>
            </c:strRef>
          </c:tx>
          <c:spPr>
            <a:ln w="28575" cap="rnd">
              <a:solidFill>
                <a:srgbClr val="00B0F0"/>
              </a:solidFill>
              <a:prstDash val="sysDash"/>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TDTA!$DD$52:$DD$68</c:f>
              <c:numCache>
                <c:formatCode>General</c:formatCode>
                <c:ptCount val="17"/>
                <c:pt idx="0">
                  <c:v>0.43790000000000001</c:v>
                </c:pt>
                <c:pt idx="1">
                  <c:v>0.46010000000000001</c:v>
                </c:pt>
                <c:pt idx="2">
                  <c:v>0.47010000000000002</c:v>
                </c:pt>
                <c:pt idx="3">
                  <c:v>0.4849</c:v>
                </c:pt>
                <c:pt idx="4">
                  <c:v>0.49640000000000001</c:v>
                </c:pt>
                <c:pt idx="5">
                  <c:v>0.51070000000000004</c:v>
                </c:pt>
                <c:pt idx="6">
                  <c:v>0.5161</c:v>
                </c:pt>
                <c:pt idx="7">
                  <c:v>0.54810000000000003</c:v>
                </c:pt>
                <c:pt idx="8">
                  <c:v>0.36830000000000002</c:v>
                </c:pt>
                <c:pt idx="9">
                  <c:v>0.32240000000000002</c:v>
                </c:pt>
                <c:pt idx="10">
                  <c:v>0.3397</c:v>
                </c:pt>
                <c:pt idx="11">
                  <c:v>0.35709999999999997</c:v>
                </c:pt>
                <c:pt idx="12">
                  <c:v>0.26479999999999998</c:v>
                </c:pt>
                <c:pt idx="13">
                  <c:v>0.27250000000000002</c:v>
                </c:pt>
                <c:pt idx="14">
                  <c:v>0.27489999999999998</c:v>
                </c:pt>
                <c:pt idx="15">
                  <c:v>0.38740000000000002</c:v>
                </c:pt>
                <c:pt idx="16">
                  <c:v>0.41980000000000001</c:v>
                </c:pt>
              </c:numCache>
            </c:numRef>
          </c:val>
          <c:smooth val="0"/>
          <c:extLst>
            <c:ext xmlns:c16="http://schemas.microsoft.com/office/drawing/2014/chart" uri="{C3380CC4-5D6E-409C-BE32-E72D297353CC}">
              <c16:uniqueId val="{00000012-FAA9-42C3-84E8-478FDFA2BA64}"/>
            </c:ext>
          </c:extLst>
        </c:ser>
        <c:ser>
          <c:idx val="19"/>
          <c:order val="19"/>
          <c:tx>
            <c:strRef>
              <c:f>TDTA!$DE$51</c:f>
              <c:strCache>
                <c:ptCount val="1"/>
                <c:pt idx="0">
                  <c:v>CC</c:v>
                </c:pt>
              </c:strCache>
            </c:strRef>
          </c:tx>
          <c:spPr>
            <a:ln w="28575" cap="rnd">
              <a:solidFill>
                <a:schemeClr val="accent2">
                  <a:lumMod val="80000"/>
                </a:schemeClr>
              </a:solidFill>
              <a:round/>
            </a:ln>
            <a:effectLst/>
          </c:spPr>
          <c:marker>
            <c:symbol val="none"/>
          </c:marker>
          <c:cat>
            <c:strRef>
              <c:f>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TDTA!$DE$52:$DE$68</c:f>
              <c:numCache>
                <c:formatCode>General</c:formatCode>
                <c:ptCount val="17"/>
                <c:pt idx="0">
                  <c:v>0.55479999999999996</c:v>
                </c:pt>
                <c:pt idx="1">
                  <c:v>0.5716</c:v>
                </c:pt>
                <c:pt idx="2">
                  <c:v>0.57869999999999999</c:v>
                </c:pt>
                <c:pt idx="3">
                  <c:v>0.57430000000000003</c:v>
                </c:pt>
                <c:pt idx="4">
                  <c:v>0.60150000000000003</c:v>
                </c:pt>
                <c:pt idx="5">
                  <c:v>0.63380000000000003</c:v>
                </c:pt>
                <c:pt idx="6">
                  <c:v>0.68320000000000003</c:v>
                </c:pt>
                <c:pt idx="7">
                  <c:v>0.6754</c:v>
                </c:pt>
                <c:pt idx="8">
                  <c:v>0.43440000000000001</c:v>
                </c:pt>
                <c:pt idx="9">
                  <c:v>0.4098</c:v>
                </c:pt>
                <c:pt idx="10">
                  <c:v>0.3125</c:v>
                </c:pt>
                <c:pt idx="11">
                  <c:v>0.35020000000000001</c:v>
                </c:pt>
                <c:pt idx="12">
                  <c:v>0.41349999999999998</c:v>
                </c:pt>
                <c:pt idx="13">
                  <c:v>0.44869999999999999</c:v>
                </c:pt>
                <c:pt idx="14">
                  <c:v>0.47720000000000001</c:v>
                </c:pt>
                <c:pt idx="15">
                  <c:v>0.48149999999999998</c:v>
                </c:pt>
                <c:pt idx="16">
                  <c:v>0.50680000000000003</c:v>
                </c:pt>
              </c:numCache>
            </c:numRef>
          </c:val>
          <c:smooth val="0"/>
          <c:extLst>
            <c:ext xmlns:c16="http://schemas.microsoft.com/office/drawing/2014/chart" uri="{C3380CC4-5D6E-409C-BE32-E72D297353CC}">
              <c16:uniqueId val="{00000013-FAA9-42C3-84E8-478FDFA2BA64}"/>
            </c:ext>
          </c:extLst>
        </c:ser>
        <c:dLbls>
          <c:showLegendKey val="0"/>
          <c:showVal val="0"/>
          <c:showCatName val="0"/>
          <c:showSerName val="0"/>
          <c:showPercent val="0"/>
          <c:showBubbleSize val="0"/>
        </c:dLbls>
        <c:smooth val="0"/>
        <c:axId val="207516792"/>
        <c:axId val="207519928"/>
      </c:lineChart>
      <c:catAx>
        <c:axId val="207516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a:t>
                </a:r>
                <a:r>
                  <a:rPr lang="en-US" baseline="0"/>
                  <a:t> Relative to Ratings Process (Q0)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19928"/>
        <c:crosses val="autoZero"/>
        <c:auto val="1"/>
        <c:lblAlgn val="ctr"/>
        <c:lblOffset val="100"/>
        <c:noMultiLvlLbl val="0"/>
      </c:catAx>
      <c:valAx>
        <c:axId val="207519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16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Figure 4a</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Mean Long-Term-Debt-to-Total Assets (LTD/TA) Ratios for Firms with Downgrades by</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 Pre-Change  Rating and Quarter Across Each of Eight Quarters Prior and Subsequent</a:t>
            </a:r>
            <a:endParaRPr lang="en-US" sz="1200">
              <a:effectLst/>
            </a:endParaRPr>
          </a:p>
          <a:p>
            <a:pPr>
              <a:defRPr/>
            </a:pPr>
            <a:r>
              <a:rPr lang="en-US" sz="1200" b="1" i="0" kern="1200" spc="0" baseline="0">
                <a:solidFill>
                  <a:srgbClr val="595959"/>
                </a:solidFill>
                <a:effectLst/>
                <a:latin typeface="Times New Roman" panose="02020603050405020304" pitchFamily="18" charset="0"/>
                <a:cs typeface="Times New Roman" panose="02020603050405020304" pitchFamily="18" charset="0"/>
              </a:rPr>
              <a:t>to the  Ratings Change Process (Q0): With Prior Credit Watch Placements</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LTDTA!$CL$51</c:f>
              <c:strCache>
                <c:ptCount val="1"/>
                <c:pt idx="0">
                  <c:v>AAA</c:v>
                </c:pt>
              </c:strCache>
            </c:strRef>
          </c:tx>
          <c:spPr>
            <a:ln w="28575" cap="rnd">
              <a:solidFill>
                <a:schemeClr val="accent1"/>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LTDTA!$CL$52:$CL$68</c:f>
              <c:numCache>
                <c:formatCode>General</c:formatCode>
                <c:ptCount val="17"/>
                <c:pt idx="0">
                  <c:v>0.1138</c:v>
                </c:pt>
                <c:pt idx="1">
                  <c:v>0.12130000000000001</c:v>
                </c:pt>
                <c:pt idx="2">
                  <c:v>0.1178</c:v>
                </c:pt>
                <c:pt idx="3">
                  <c:v>0.1181</c:v>
                </c:pt>
                <c:pt idx="4">
                  <c:v>0.1183</c:v>
                </c:pt>
                <c:pt idx="5">
                  <c:v>0.13489999999999999</c:v>
                </c:pt>
                <c:pt idx="6">
                  <c:v>0.1331</c:v>
                </c:pt>
                <c:pt idx="7">
                  <c:v>0.13320000000000001</c:v>
                </c:pt>
                <c:pt idx="8">
                  <c:v>0.14649999999999999</c:v>
                </c:pt>
                <c:pt idx="9">
                  <c:v>0.1585</c:v>
                </c:pt>
                <c:pt idx="10">
                  <c:v>0.16270000000000001</c:v>
                </c:pt>
                <c:pt idx="11">
                  <c:v>0.1605</c:v>
                </c:pt>
                <c:pt idx="12">
                  <c:v>0.16520000000000001</c:v>
                </c:pt>
                <c:pt idx="13">
                  <c:v>0.16969999999999999</c:v>
                </c:pt>
                <c:pt idx="14">
                  <c:v>0.16850000000000001</c:v>
                </c:pt>
                <c:pt idx="15">
                  <c:v>0.16550000000000001</c:v>
                </c:pt>
                <c:pt idx="16">
                  <c:v>0.1701</c:v>
                </c:pt>
              </c:numCache>
            </c:numRef>
          </c:val>
          <c:smooth val="0"/>
          <c:extLst>
            <c:ext xmlns:c16="http://schemas.microsoft.com/office/drawing/2014/chart" uri="{C3380CC4-5D6E-409C-BE32-E72D297353CC}">
              <c16:uniqueId val="{00000000-A50A-4C29-AE09-02E400967DDA}"/>
            </c:ext>
          </c:extLst>
        </c:ser>
        <c:ser>
          <c:idx val="1"/>
          <c:order val="1"/>
          <c:tx>
            <c:strRef>
              <c:f>LTDTA!$CM$51</c:f>
              <c:strCache>
                <c:ptCount val="1"/>
                <c:pt idx="0">
                  <c:v>AA+</c:v>
                </c:pt>
              </c:strCache>
            </c:strRef>
          </c:tx>
          <c:spPr>
            <a:ln w="28575" cap="rnd">
              <a:solidFill>
                <a:srgbClr val="C00000"/>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LTDTA!$CM$52:$CM$68</c:f>
              <c:numCache>
                <c:formatCode>General</c:formatCode>
                <c:ptCount val="17"/>
                <c:pt idx="0">
                  <c:v>0.14810000000000001</c:v>
                </c:pt>
                <c:pt idx="1">
                  <c:v>0.14330000000000001</c:v>
                </c:pt>
                <c:pt idx="2">
                  <c:v>0.13689999999999999</c:v>
                </c:pt>
                <c:pt idx="3">
                  <c:v>0.1263</c:v>
                </c:pt>
                <c:pt idx="4">
                  <c:v>0.1593</c:v>
                </c:pt>
                <c:pt idx="5">
                  <c:v>0.16980000000000001</c:v>
                </c:pt>
                <c:pt idx="6">
                  <c:v>0.18190000000000001</c:v>
                </c:pt>
                <c:pt idx="7">
                  <c:v>0.17960000000000001</c:v>
                </c:pt>
                <c:pt idx="8">
                  <c:v>0.187</c:v>
                </c:pt>
                <c:pt idx="9">
                  <c:v>0.19620000000000001</c:v>
                </c:pt>
                <c:pt idx="10">
                  <c:v>0.19969999999999999</c:v>
                </c:pt>
                <c:pt idx="11">
                  <c:v>0.1988</c:v>
                </c:pt>
                <c:pt idx="12">
                  <c:v>0.19889999999999999</c:v>
                </c:pt>
                <c:pt idx="13">
                  <c:v>0.20150000000000001</c:v>
                </c:pt>
                <c:pt idx="14">
                  <c:v>0.1988</c:v>
                </c:pt>
                <c:pt idx="15">
                  <c:v>0.20050000000000001</c:v>
                </c:pt>
                <c:pt idx="16">
                  <c:v>0.1986</c:v>
                </c:pt>
              </c:numCache>
            </c:numRef>
          </c:val>
          <c:smooth val="0"/>
          <c:extLst>
            <c:ext xmlns:c16="http://schemas.microsoft.com/office/drawing/2014/chart" uri="{C3380CC4-5D6E-409C-BE32-E72D297353CC}">
              <c16:uniqueId val="{00000001-A50A-4C29-AE09-02E400967DDA}"/>
            </c:ext>
          </c:extLst>
        </c:ser>
        <c:ser>
          <c:idx val="2"/>
          <c:order val="2"/>
          <c:tx>
            <c:strRef>
              <c:f>LTDTA!$CN$51</c:f>
              <c:strCache>
                <c:ptCount val="1"/>
                <c:pt idx="0">
                  <c:v>AA</c:v>
                </c:pt>
              </c:strCache>
            </c:strRef>
          </c:tx>
          <c:spPr>
            <a:ln w="28575" cap="rnd">
              <a:solidFill>
                <a:srgbClr val="C00000"/>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LTDTA!$CN$52:$CN$68</c:f>
              <c:numCache>
                <c:formatCode>General</c:formatCode>
                <c:ptCount val="17"/>
                <c:pt idx="0">
                  <c:v>0.1862</c:v>
                </c:pt>
                <c:pt idx="1">
                  <c:v>0.1893</c:v>
                </c:pt>
                <c:pt idx="2">
                  <c:v>0.18640000000000001</c:v>
                </c:pt>
                <c:pt idx="3">
                  <c:v>0.18540000000000001</c:v>
                </c:pt>
                <c:pt idx="4">
                  <c:v>0.19389999999999999</c:v>
                </c:pt>
                <c:pt idx="5">
                  <c:v>0.1948</c:v>
                </c:pt>
                <c:pt idx="6">
                  <c:v>0.18990000000000001</c:v>
                </c:pt>
                <c:pt idx="7">
                  <c:v>0.18629999999999999</c:v>
                </c:pt>
                <c:pt idx="8">
                  <c:v>0.19739999999999999</c:v>
                </c:pt>
                <c:pt idx="9">
                  <c:v>0.20669999999999999</c:v>
                </c:pt>
                <c:pt idx="10">
                  <c:v>0.2089</c:v>
                </c:pt>
                <c:pt idx="11">
                  <c:v>0.21390000000000001</c:v>
                </c:pt>
                <c:pt idx="12">
                  <c:v>0.2175</c:v>
                </c:pt>
                <c:pt idx="13">
                  <c:v>0.21879999999999999</c:v>
                </c:pt>
                <c:pt idx="14">
                  <c:v>0.21240000000000001</c:v>
                </c:pt>
                <c:pt idx="15">
                  <c:v>0.2167</c:v>
                </c:pt>
                <c:pt idx="16">
                  <c:v>0.22839999999999999</c:v>
                </c:pt>
              </c:numCache>
            </c:numRef>
          </c:val>
          <c:smooth val="0"/>
          <c:extLst>
            <c:ext xmlns:c16="http://schemas.microsoft.com/office/drawing/2014/chart" uri="{C3380CC4-5D6E-409C-BE32-E72D297353CC}">
              <c16:uniqueId val="{00000002-A50A-4C29-AE09-02E400967DDA}"/>
            </c:ext>
          </c:extLst>
        </c:ser>
        <c:ser>
          <c:idx val="3"/>
          <c:order val="3"/>
          <c:tx>
            <c:strRef>
              <c:f>LTDTA!$CO$51</c:f>
              <c:strCache>
                <c:ptCount val="1"/>
                <c:pt idx="0">
                  <c:v>AA-</c:v>
                </c:pt>
              </c:strCache>
            </c:strRef>
          </c:tx>
          <c:spPr>
            <a:ln w="28575" cap="rnd">
              <a:solidFill>
                <a:srgbClr val="C00000"/>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LTDTA!$CO$52:$CO$68</c:f>
              <c:numCache>
                <c:formatCode>General</c:formatCode>
                <c:ptCount val="17"/>
                <c:pt idx="0">
                  <c:v>0.17319999999999999</c:v>
                </c:pt>
                <c:pt idx="1">
                  <c:v>0.17630000000000001</c:v>
                </c:pt>
                <c:pt idx="2">
                  <c:v>0.17610000000000001</c:v>
                </c:pt>
                <c:pt idx="3">
                  <c:v>0.1764</c:v>
                </c:pt>
                <c:pt idx="4">
                  <c:v>0.17979999999999999</c:v>
                </c:pt>
                <c:pt idx="5">
                  <c:v>0.18509999999999999</c:v>
                </c:pt>
                <c:pt idx="6">
                  <c:v>0.18709999999999999</c:v>
                </c:pt>
                <c:pt idx="7">
                  <c:v>0.18360000000000001</c:v>
                </c:pt>
                <c:pt idx="8">
                  <c:v>0.2029</c:v>
                </c:pt>
                <c:pt idx="9">
                  <c:v>0.20630000000000001</c:v>
                </c:pt>
                <c:pt idx="10">
                  <c:v>0.2041</c:v>
                </c:pt>
                <c:pt idx="11">
                  <c:v>0.2014</c:v>
                </c:pt>
                <c:pt idx="12">
                  <c:v>0.20080000000000001</c:v>
                </c:pt>
                <c:pt idx="13">
                  <c:v>0.2026</c:v>
                </c:pt>
                <c:pt idx="14">
                  <c:v>0.20219999999999999</c:v>
                </c:pt>
                <c:pt idx="15">
                  <c:v>0.19869999999999999</c:v>
                </c:pt>
                <c:pt idx="16">
                  <c:v>0.19739999999999999</c:v>
                </c:pt>
              </c:numCache>
            </c:numRef>
          </c:val>
          <c:smooth val="0"/>
          <c:extLst>
            <c:ext xmlns:c16="http://schemas.microsoft.com/office/drawing/2014/chart" uri="{C3380CC4-5D6E-409C-BE32-E72D297353CC}">
              <c16:uniqueId val="{00000003-A50A-4C29-AE09-02E400967DDA}"/>
            </c:ext>
          </c:extLst>
        </c:ser>
        <c:ser>
          <c:idx val="4"/>
          <c:order val="4"/>
          <c:tx>
            <c:strRef>
              <c:f>LTDTA!$CP$51</c:f>
              <c:strCache>
                <c:ptCount val="1"/>
                <c:pt idx="0">
                  <c:v>A+</c:v>
                </c:pt>
              </c:strCache>
            </c:strRef>
          </c:tx>
          <c:spPr>
            <a:ln w="28575" cap="rnd">
              <a:solidFill>
                <a:srgbClr val="7030A0"/>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LTDTA!$CP$52:$CP$68</c:f>
              <c:numCache>
                <c:formatCode>General</c:formatCode>
                <c:ptCount val="17"/>
                <c:pt idx="0">
                  <c:v>0.19919999999999999</c:v>
                </c:pt>
                <c:pt idx="1">
                  <c:v>0.20449999999999999</c:v>
                </c:pt>
                <c:pt idx="2">
                  <c:v>0.20710000000000001</c:v>
                </c:pt>
                <c:pt idx="3">
                  <c:v>0.2122</c:v>
                </c:pt>
                <c:pt idx="4">
                  <c:v>0.20810000000000001</c:v>
                </c:pt>
                <c:pt idx="5">
                  <c:v>0.2137</c:v>
                </c:pt>
                <c:pt idx="6">
                  <c:v>0.21609999999999999</c:v>
                </c:pt>
                <c:pt idx="7">
                  <c:v>0.22239999999999999</c:v>
                </c:pt>
                <c:pt idx="8">
                  <c:v>0.2288</c:v>
                </c:pt>
                <c:pt idx="9">
                  <c:v>0.2331</c:v>
                </c:pt>
                <c:pt idx="10">
                  <c:v>0.23699999999999999</c:v>
                </c:pt>
                <c:pt idx="11">
                  <c:v>0.23719999999999999</c:v>
                </c:pt>
                <c:pt idx="12">
                  <c:v>0.23469999999999999</c:v>
                </c:pt>
                <c:pt idx="13">
                  <c:v>0.23469999999999999</c:v>
                </c:pt>
                <c:pt idx="14">
                  <c:v>0.2394</c:v>
                </c:pt>
                <c:pt idx="15">
                  <c:v>0.23419999999999999</c:v>
                </c:pt>
                <c:pt idx="16">
                  <c:v>0.23300000000000001</c:v>
                </c:pt>
              </c:numCache>
            </c:numRef>
          </c:val>
          <c:smooth val="0"/>
          <c:extLst>
            <c:ext xmlns:c16="http://schemas.microsoft.com/office/drawing/2014/chart" uri="{C3380CC4-5D6E-409C-BE32-E72D297353CC}">
              <c16:uniqueId val="{00000004-A50A-4C29-AE09-02E400967DDA}"/>
            </c:ext>
          </c:extLst>
        </c:ser>
        <c:ser>
          <c:idx val="5"/>
          <c:order val="5"/>
          <c:tx>
            <c:strRef>
              <c:f>LTDTA!$CQ$51</c:f>
              <c:strCache>
                <c:ptCount val="1"/>
                <c:pt idx="0">
                  <c:v>A</c:v>
                </c:pt>
              </c:strCache>
            </c:strRef>
          </c:tx>
          <c:spPr>
            <a:ln w="28575" cap="rnd">
              <a:solidFill>
                <a:srgbClr val="7030A0"/>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LTDTA!$CQ$52:$CQ$68</c:f>
              <c:numCache>
                <c:formatCode>General</c:formatCode>
                <c:ptCount val="17"/>
                <c:pt idx="0">
                  <c:v>0.20860000000000001</c:v>
                </c:pt>
                <c:pt idx="1">
                  <c:v>0.20760000000000001</c:v>
                </c:pt>
                <c:pt idx="2">
                  <c:v>0.21329999999999999</c:v>
                </c:pt>
                <c:pt idx="3">
                  <c:v>0.21460000000000001</c:v>
                </c:pt>
                <c:pt idx="4">
                  <c:v>0.21759999999999999</c:v>
                </c:pt>
                <c:pt idx="5">
                  <c:v>0.219</c:v>
                </c:pt>
                <c:pt idx="6">
                  <c:v>0.22509999999999999</c:v>
                </c:pt>
                <c:pt idx="7">
                  <c:v>0.23019999999999999</c:v>
                </c:pt>
                <c:pt idx="8">
                  <c:v>0.24610000000000001</c:v>
                </c:pt>
                <c:pt idx="9">
                  <c:v>0.25590000000000002</c:v>
                </c:pt>
                <c:pt idx="10">
                  <c:v>0.26090000000000002</c:v>
                </c:pt>
                <c:pt idx="11">
                  <c:v>0.26079999999999998</c:v>
                </c:pt>
                <c:pt idx="12">
                  <c:v>0.25950000000000001</c:v>
                </c:pt>
                <c:pt idx="13">
                  <c:v>0.25740000000000002</c:v>
                </c:pt>
                <c:pt idx="14">
                  <c:v>0.26200000000000001</c:v>
                </c:pt>
                <c:pt idx="15">
                  <c:v>0.2581</c:v>
                </c:pt>
                <c:pt idx="16">
                  <c:v>0.2576</c:v>
                </c:pt>
              </c:numCache>
            </c:numRef>
          </c:val>
          <c:smooth val="0"/>
          <c:extLst>
            <c:ext xmlns:c16="http://schemas.microsoft.com/office/drawing/2014/chart" uri="{C3380CC4-5D6E-409C-BE32-E72D297353CC}">
              <c16:uniqueId val="{00000005-A50A-4C29-AE09-02E400967DDA}"/>
            </c:ext>
          </c:extLst>
        </c:ser>
        <c:ser>
          <c:idx val="6"/>
          <c:order val="6"/>
          <c:tx>
            <c:strRef>
              <c:f>LTDTA!$CR$51</c:f>
              <c:strCache>
                <c:ptCount val="1"/>
                <c:pt idx="0">
                  <c:v>A-</c:v>
                </c:pt>
              </c:strCache>
            </c:strRef>
          </c:tx>
          <c:spPr>
            <a:ln w="28575" cap="rnd">
              <a:solidFill>
                <a:srgbClr val="7030A0"/>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LTDTA!$CR$52:$CR$68</c:f>
              <c:numCache>
                <c:formatCode>General</c:formatCode>
                <c:ptCount val="17"/>
                <c:pt idx="0">
                  <c:v>0.23710000000000001</c:v>
                </c:pt>
                <c:pt idx="1">
                  <c:v>0.2422</c:v>
                </c:pt>
                <c:pt idx="2">
                  <c:v>0.24479999999999999</c:v>
                </c:pt>
                <c:pt idx="3">
                  <c:v>0.24399999999999999</c:v>
                </c:pt>
                <c:pt idx="4">
                  <c:v>0.23760000000000001</c:v>
                </c:pt>
                <c:pt idx="5">
                  <c:v>0.2455</c:v>
                </c:pt>
                <c:pt idx="6">
                  <c:v>0.24490000000000001</c:v>
                </c:pt>
                <c:pt idx="7">
                  <c:v>0.25159999999999999</c:v>
                </c:pt>
                <c:pt idx="8">
                  <c:v>0.26079999999999998</c:v>
                </c:pt>
                <c:pt idx="9">
                  <c:v>0.2757</c:v>
                </c:pt>
                <c:pt idx="10">
                  <c:v>0.2782</c:v>
                </c:pt>
                <c:pt idx="11">
                  <c:v>0.2742</c:v>
                </c:pt>
                <c:pt idx="12">
                  <c:v>0.26979999999999998</c:v>
                </c:pt>
                <c:pt idx="13">
                  <c:v>0.26740000000000003</c:v>
                </c:pt>
                <c:pt idx="14">
                  <c:v>0.2636</c:v>
                </c:pt>
                <c:pt idx="15">
                  <c:v>0.26629999999999998</c:v>
                </c:pt>
                <c:pt idx="16">
                  <c:v>0.2651</c:v>
                </c:pt>
              </c:numCache>
            </c:numRef>
          </c:val>
          <c:smooth val="0"/>
          <c:extLst>
            <c:ext xmlns:c16="http://schemas.microsoft.com/office/drawing/2014/chart" uri="{C3380CC4-5D6E-409C-BE32-E72D297353CC}">
              <c16:uniqueId val="{00000006-A50A-4C29-AE09-02E400967DDA}"/>
            </c:ext>
          </c:extLst>
        </c:ser>
        <c:ser>
          <c:idx val="7"/>
          <c:order val="7"/>
          <c:tx>
            <c:strRef>
              <c:f>LTDTA!$CS$51</c:f>
              <c:strCache>
                <c:ptCount val="1"/>
                <c:pt idx="0">
                  <c:v>BBB+</c:v>
                </c:pt>
              </c:strCache>
            </c:strRef>
          </c:tx>
          <c:spPr>
            <a:ln w="28575" cap="rnd">
              <a:solidFill>
                <a:srgbClr val="FFC000"/>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LTDTA!$CS$52:$CS$68</c:f>
              <c:numCache>
                <c:formatCode>General</c:formatCode>
                <c:ptCount val="17"/>
                <c:pt idx="0">
                  <c:v>0.2477</c:v>
                </c:pt>
                <c:pt idx="1">
                  <c:v>0.25009999999999999</c:v>
                </c:pt>
                <c:pt idx="2">
                  <c:v>0.24709999999999999</c:v>
                </c:pt>
                <c:pt idx="3">
                  <c:v>0.24529999999999999</c:v>
                </c:pt>
                <c:pt idx="4">
                  <c:v>0.25280000000000002</c:v>
                </c:pt>
                <c:pt idx="5">
                  <c:v>0.25290000000000001</c:v>
                </c:pt>
                <c:pt idx="6">
                  <c:v>0.25490000000000002</c:v>
                </c:pt>
                <c:pt idx="7">
                  <c:v>0.254</c:v>
                </c:pt>
                <c:pt idx="8">
                  <c:v>0.27239999999999998</c:v>
                </c:pt>
                <c:pt idx="9">
                  <c:v>0.2843</c:v>
                </c:pt>
                <c:pt idx="10">
                  <c:v>0.28620000000000001</c:v>
                </c:pt>
                <c:pt idx="11">
                  <c:v>0.28420000000000001</c:v>
                </c:pt>
                <c:pt idx="12">
                  <c:v>0.2883</c:v>
                </c:pt>
                <c:pt idx="13">
                  <c:v>0.28960000000000002</c:v>
                </c:pt>
                <c:pt idx="14">
                  <c:v>0.2903</c:v>
                </c:pt>
                <c:pt idx="15">
                  <c:v>0.29020000000000001</c:v>
                </c:pt>
                <c:pt idx="16">
                  <c:v>0.28449999999999998</c:v>
                </c:pt>
              </c:numCache>
            </c:numRef>
          </c:val>
          <c:smooth val="0"/>
          <c:extLst>
            <c:ext xmlns:c16="http://schemas.microsoft.com/office/drawing/2014/chart" uri="{C3380CC4-5D6E-409C-BE32-E72D297353CC}">
              <c16:uniqueId val="{00000007-A50A-4C29-AE09-02E400967DDA}"/>
            </c:ext>
          </c:extLst>
        </c:ser>
        <c:ser>
          <c:idx val="8"/>
          <c:order val="8"/>
          <c:tx>
            <c:strRef>
              <c:f>LTDTA!$CT$51</c:f>
              <c:strCache>
                <c:ptCount val="1"/>
                <c:pt idx="0">
                  <c:v>BBB</c:v>
                </c:pt>
              </c:strCache>
            </c:strRef>
          </c:tx>
          <c:spPr>
            <a:ln w="28575" cap="rnd">
              <a:solidFill>
                <a:srgbClr val="FFC000"/>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LTDTA!$CT$52:$CT$68</c:f>
              <c:numCache>
                <c:formatCode>General</c:formatCode>
                <c:ptCount val="17"/>
                <c:pt idx="0">
                  <c:v>0.25209999999999999</c:v>
                </c:pt>
                <c:pt idx="1">
                  <c:v>0.25309999999999999</c:v>
                </c:pt>
                <c:pt idx="2">
                  <c:v>0.25569999999999998</c:v>
                </c:pt>
                <c:pt idx="3">
                  <c:v>0.26140000000000002</c:v>
                </c:pt>
                <c:pt idx="4">
                  <c:v>0.26500000000000001</c:v>
                </c:pt>
                <c:pt idx="5">
                  <c:v>0.27</c:v>
                </c:pt>
                <c:pt idx="6">
                  <c:v>0.27339999999999998</c:v>
                </c:pt>
                <c:pt idx="7">
                  <c:v>0.26960000000000001</c:v>
                </c:pt>
                <c:pt idx="8">
                  <c:v>0.27889999999999998</c:v>
                </c:pt>
                <c:pt idx="9">
                  <c:v>0.28870000000000001</c:v>
                </c:pt>
                <c:pt idx="10">
                  <c:v>0.28949999999999998</c:v>
                </c:pt>
                <c:pt idx="11">
                  <c:v>0.28599999999999998</c:v>
                </c:pt>
                <c:pt idx="12">
                  <c:v>0.28110000000000002</c:v>
                </c:pt>
                <c:pt idx="13">
                  <c:v>0.28720000000000001</c:v>
                </c:pt>
                <c:pt idx="14">
                  <c:v>0.28860000000000002</c:v>
                </c:pt>
                <c:pt idx="15">
                  <c:v>0.28710000000000002</c:v>
                </c:pt>
                <c:pt idx="16">
                  <c:v>0.28110000000000002</c:v>
                </c:pt>
              </c:numCache>
            </c:numRef>
          </c:val>
          <c:smooth val="0"/>
          <c:extLst>
            <c:ext xmlns:c16="http://schemas.microsoft.com/office/drawing/2014/chart" uri="{C3380CC4-5D6E-409C-BE32-E72D297353CC}">
              <c16:uniqueId val="{00000008-A50A-4C29-AE09-02E400967DDA}"/>
            </c:ext>
          </c:extLst>
        </c:ser>
        <c:ser>
          <c:idx val="9"/>
          <c:order val="9"/>
          <c:tx>
            <c:strRef>
              <c:f>LTDTA!$CU$51</c:f>
              <c:strCache>
                <c:ptCount val="1"/>
                <c:pt idx="0">
                  <c:v>BBB-</c:v>
                </c:pt>
              </c:strCache>
            </c:strRef>
          </c:tx>
          <c:spPr>
            <a:ln w="28575" cap="rnd">
              <a:solidFill>
                <a:srgbClr val="FFC000"/>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LTDTA!$CU$52:$CU$68</c:f>
              <c:numCache>
                <c:formatCode>General</c:formatCode>
                <c:ptCount val="17"/>
                <c:pt idx="0">
                  <c:v>0.26440000000000002</c:v>
                </c:pt>
                <c:pt idx="1">
                  <c:v>0.26850000000000002</c:v>
                </c:pt>
                <c:pt idx="2">
                  <c:v>0.26919999999999999</c:v>
                </c:pt>
                <c:pt idx="3">
                  <c:v>0.27839999999999998</c:v>
                </c:pt>
                <c:pt idx="4">
                  <c:v>0.2772</c:v>
                </c:pt>
                <c:pt idx="5">
                  <c:v>0.28070000000000001</c:v>
                </c:pt>
                <c:pt idx="6">
                  <c:v>0.2848</c:v>
                </c:pt>
                <c:pt idx="7">
                  <c:v>0.2913</c:v>
                </c:pt>
                <c:pt idx="8">
                  <c:v>0.30559999999999998</c:v>
                </c:pt>
                <c:pt idx="9">
                  <c:v>0.31419999999999998</c:v>
                </c:pt>
                <c:pt idx="10">
                  <c:v>0.31459999999999999</c:v>
                </c:pt>
                <c:pt idx="11">
                  <c:v>0.31840000000000002</c:v>
                </c:pt>
                <c:pt idx="12">
                  <c:v>0.32479999999999998</c:v>
                </c:pt>
                <c:pt idx="13">
                  <c:v>0.318</c:v>
                </c:pt>
                <c:pt idx="14">
                  <c:v>0.31240000000000001</c:v>
                </c:pt>
                <c:pt idx="15">
                  <c:v>0.30690000000000001</c:v>
                </c:pt>
                <c:pt idx="16">
                  <c:v>0.30869999999999997</c:v>
                </c:pt>
              </c:numCache>
            </c:numRef>
          </c:val>
          <c:smooth val="0"/>
          <c:extLst>
            <c:ext xmlns:c16="http://schemas.microsoft.com/office/drawing/2014/chart" uri="{C3380CC4-5D6E-409C-BE32-E72D297353CC}">
              <c16:uniqueId val="{00000009-A50A-4C29-AE09-02E400967DDA}"/>
            </c:ext>
          </c:extLst>
        </c:ser>
        <c:ser>
          <c:idx val="10"/>
          <c:order val="10"/>
          <c:tx>
            <c:strRef>
              <c:f>LTDTA!$CV$51</c:f>
              <c:strCache>
                <c:ptCount val="1"/>
                <c:pt idx="0">
                  <c:v>BB+</c:v>
                </c:pt>
              </c:strCache>
            </c:strRef>
          </c:tx>
          <c:spPr>
            <a:ln w="28575" cap="rnd">
              <a:solidFill>
                <a:srgbClr val="002060"/>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LTDTA!$CV$52:$CV$68</c:f>
              <c:numCache>
                <c:formatCode>General</c:formatCode>
                <c:ptCount val="17"/>
                <c:pt idx="0">
                  <c:v>0.27929999999999999</c:v>
                </c:pt>
                <c:pt idx="1">
                  <c:v>0.27910000000000001</c:v>
                </c:pt>
                <c:pt idx="2">
                  <c:v>0.27979999999999999</c:v>
                </c:pt>
                <c:pt idx="3">
                  <c:v>0.2853</c:v>
                </c:pt>
                <c:pt idx="4">
                  <c:v>0.28439999999999999</c:v>
                </c:pt>
                <c:pt idx="5">
                  <c:v>0.29430000000000001</c:v>
                </c:pt>
                <c:pt idx="6">
                  <c:v>0.30009999999999998</c:v>
                </c:pt>
                <c:pt idx="7">
                  <c:v>0.30459999999999998</c:v>
                </c:pt>
                <c:pt idx="8">
                  <c:v>0.31659999999999999</c:v>
                </c:pt>
                <c:pt idx="9">
                  <c:v>0.32800000000000001</c:v>
                </c:pt>
                <c:pt idx="10">
                  <c:v>0.32600000000000001</c:v>
                </c:pt>
                <c:pt idx="11">
                  <c:v>0.3251</c:v>
                </c:pt>
                <c:pt idx="12">
                  <c:v>0.32179999999999997</c:v>
                </c:pt>
                <c:pt idx="13">
                  <c:v>0.3276</c:v>
                </c:pt>
                <c:pt idx="14">
                  <c:v>0.3196</c:v>
                </c:pt>
                <c:pt idx="15">
                  <c:v>0.31659999999999999</c:v>
                </c:pt>
                <c:pt idx="16">
                  <c:v>0.31900000000000001</c:v>
                </c:pt>
              </c:numCache>
            </c:numRef>
          </c:val>
          <c:smooth val="0"/>
          <c:extLst>
            <c:ext xmlns:c16="http://schemas.microsoft.com/office/drawing/2014/chart" uri="{C3380CC4-5D6E-409C-BE32-E72D297353CC}">
              <c16:uniqueId val="{0000000A-A50A-4C29-AE09-02E400967DDA}"/>
            </c:ext>
          </c:extLst>
        </c:ser>
        <c:ser>
          <c:idx val="11"/>
          <c:order val="11"/>
          <c:tx>
            <c:strRef>
              <c:f>LTDTA!$CW$51</c:f>
              <c:strCache>
                <c:ptCount val="1"/>
                <c:pt idx="0">
                  <c:v>BB</c:v>
                </c:pt>
              </c:strCache>
            </c:strRef>
          </c:tx>
          <c:spPr>
            <a:ln w="28575" cap="rnd">
              <a:solidFill>
                <a:srgbClr val="002060"/>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LTDTA!$CW$52:$CW$68</c:f>
              <c:numCache>
                <c:formatCode>General</c:formatCode>
                <c:ptCount val="17"/>
                <c:pt idx="0">
                  <c:v>0.3256</c:v>
                </c:pt>
                <c:pt idx="1">
                  <c:v>0.32700000000000001</c:v>
                </c:pt>
                <c:pt idx="2">
                  <c:v>0.33600000000000002</c:v>
                </c:pt>
                <c:pt idx="3">
                  <c:v>0.33489999999999998</c:v>
                </c:pt>
                <c:pt idx="4">
                  <c:v>0.34139999999999998</c:v>
                </c:pt>
                <c:pt idx="5">
                  <c:v>0.34429999999999999</c:v>
                </c:pt>
                <c:pt idx="6">
                  <c:v>0.34899999999999998</c:v>
                </c:pt>
                <c:pt idx="7">
                  <c:v>0.34339999999999998</c:v>
                </c:pt>
                <c:pt idx="8">
                  <c:v>0.36580000000000001</c:v>
                </c:pt>
                <c:pt idx="9">
                  <c:v>0.37040000000000001</c:v>
                </c:pt>
                <c:pt idx="10">
                  <c:v>0.35959999999999998</c:v>
                </c:pt>
                <c:pt idx="11">
                  <c:v>0.37259999999999999</c:v>
                </c:pt>
                <c:pt idx="12">
                  <c:v>0.36859999999999998</c:v>
                </c:pt>
                <c:pt idx="13">
                  <c:v>0.36149999999999999</c:v>
                </c:pt>
                <c:pt idx="14">
                  <c:v>0.35549999999999998</c:v>
                </c:pt>
                <c:pt idx="15">
                  <c:v>0.35709999999999997</c:v>
                </c:pt>
                <c:pt idx="16">
                  <c:v>0.36320000000000002</c:v>
                </c:pt>
              </c:numCache>
            </c:numRef>
          </c:val>
          <c:smooth val="0"/>
          <c:extLst>
            <c:ext xmlns:c16="http://schemas.microsoft.com/office/drawing/2014/chart" uri="{C3380CC4-5D6E-409C-BE32-E72D297353CC}">
              <c16:uniqueId val="{0000000B-A50A-4C29-AE09-02E400967DDA}"/>
            </c:ext>
          </c:extLst>
        </c:ser>
        <c:ser>
          <c:idx val="12"/>
          <c:order val="12"/>
          <c:tx>
            <c:strRef>
              <c:f>LTDTA!$CX$51</c:f>
              <c:strCache>
                <c:ptCount val="1"/>
                <c:pt idx="0">
                  <c:v>BB-</c:v>
                </c:pt>
              </c:strCache>
            </c:strRef>
          </c:tx>
          <c:spPr>
            <a:ln w="28575" cap="rnd">
              <a:solidFill>
                <a:srgbClr val="002060"/>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LTDTA!$CX$52:$CX$68</c:f>
              <c:numCache>
                <c:formatCode>General</c:formatCode>
                <c:ptCount val="17"/>
                <c:pt idx="0">
                  <c:v>0.36780000000000002</c:v>
                </c:pt>
                <c:pt idx="1">
                  <c:v>0.36420000000000002</c:v>
                </c:pt>
                <c:pt idx="2">
                  <c:v>0.36649999999999999</c:v>
                </c:pt>
                <c:pt idx="3">
                  <c:v>0.37409999999999999</c:v>
                </c:pt>
                <c:pt idx="4">
                  <c:v>0.38629999999999998</c:v>
                </c:pt>
                <c:pt idx="5">
                  <c:v>0.3881</c:v>
                </c:pt>
                <c:pt idx="6">
                  <c:v>0.38700000000000001</c:v>
                </c:pt>
                <c:pt idx="7">
                  <c:v>0.3931</c:v>
                </c:pt>
                <c:pt idx="8">
                  <c:v>0.40160000000000001</c:v>
                </c:pt>
                <c:pt idx="9">
                  <c:v>0.41070000000000001</c:v>
                </c:pt>
                <c:pt idx="10">
                  <c:v>0.41270000000000001</c:v>
                </c:pt>
                <c:pt idx="11">
                  <c:v>0.40570000000000001</c:v>
                </c:pt>
                <c:pt idx="12">
                  <c:v>0.40560000000000002</c:v>
                </c:pt>
                <c:pt idx="13">
                  <c:v>0.40189999999999998</c:v>
                </c:pt>
                <c:pt idx="14">
                  <c:v>0.39479999999999998</c:v>
                </c:pt>
                <c:pt idx="15">
                  <c:v>0.38640000000000002</c:v>
                </c:pt>
                <c:pt idx="16">
                  <c:v>0.39150000000000001</c:v>
                </c:pt>
              </c:numCache>
            </c:numRef>
          </c:val>
          <c:smooth val="0"/>
          <c:extLst>
            <c:ext xmlns:c16="http://schemas.microsoft.com/office/drawing/2014/chart" uri="{C3380CC4-5D6E-409C-BE32-E72D297353CC}">
              <c16:uniqueId val="{0000000C-A50A-4C29-AE09-02E400967DDA}"/>
            </c:ext>
          </c:extLst>
        </c:ser>
        <c:ser>
          <c:idx val="13"/>
          <c:order val="13"/>
          <c:tx>
            <c:strRef>
              <c:f>LTDTA!$CY$51</c:f>
              <c:strCache>
                <c:ptCount val="1"/>
                <c:pt idx="0">
                  <c:v>B+</c:v>
                </c:pt>
              </c:strCache>
            </c:strRef>
          </c:tx>
          <c:spPr>
            <a:ln w="28575" cap="rnd">
              <a:solidFill>
                <a:srgbClr val="00B0F0"/>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LTDTA!$CY$52:$CY$68</c:f>
              <c:numCache>
                <c:formatCode>General</c:formatCode>
                <c:ptCount val="17"/>
                <c:pt idx="0">
                  <c:v>0.3876</c:v>
                </c:pt>
                <c:pt idx="1">
                  <c:v>0.39290000000000003</c:v>
                </c:pt>
                <c:pt idx="2">
                  <c:v>0.39600000000000002</c:v>
                </c:pt>
                <c:pt idx="3">
                  <c:v>0.4047</c:v>
                </c:pt>
                <c:pt idx="4">
                  <c:v>0.41599999999999998</c:v>
                </c:pt>
                <c:pt idx="5">
                  <c:v>0.42080000000000001</c:v>
                </c:pt>
                <c:pt idx="6">
                  <c:v>0.43180000000000002</c:v>
                </c:pt>
                <c:pt idx="7">
                  <c:v>0.41820000000000002</c:v>
                </c:pt>
                <c:pt idx="8">
                  <c:v>0.41620000000000001</c:v>
                </c:pt>
                <c:pt idx="9">
                  <c:v>0.4163</c:v>
                </c:pt>
                <c:pt idx="10">
                  <c:v>0.41620000000000001</c:v>
                </c:pt>
                <c:pt idx="11">
                  <c:v>0.40629999999999999</c:v>
                </c:pt>
                <c:pt idx="12">
                  <c:v>0.4138</c:v>
                </c:pt>
                <c:pt idx="13">
                  <c:v>0.40439999999999998</c:v>
                </c:pt>
                <c:pt idx="14">
                  <c:v>0.40179999999999999</c:v>
                </c:pt>
                <c:pt idx="15">
                  <c:v>0.39700000000000002</c:v>
                </c:pt>
                <c:pt idx="16">
                  <c:v>0.4083</c:v>
                </c:pt>
              </c:numCache>
            </c:numRef>
          </c:val>
          <c:smooth val="0"/>
          <c:extLst>
            <c:ext xmlns:c16="http://schemas.microsoft.com/office/drawing/2014/chart" uri="{C3380CC4-5D6E-409C-BE32-E72D297353CC}">
              <c16:uniqueId val="{0000000D-A50A-4C29-AE09-02E400967DDA}"/>
            </c:ext>
          </c:extLst>
        </c:ser>
        <c:ser>
          <c:idx val="14"/>
          <c:order val="14"/>
          <c:tx>
            <c:strRef>
              <c:f>LTDTA!$CZ$51</c:f>
              <c:strCache>
                <c:ptCount val="1"/>
                <c:pt idx="0">
                  <c:v>B</c:v>
                </c:pt>
              </c:strCache>
            </c:strRef>
          </c:tx>
          <c:spPr>
            <a:ln w="28575" cap="rnd">
              <a:solidFill>
                <a:srgbClr val="00B0F0"/>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LTDTA!$CZ$52:$CZ$68</c:f>
              <c:numCache>
                <c:formatCode>General</c:formatCode>
                <c:ptCount val="17"/>
                <c:pt idx="0">
                  <c:v>0.39829999999999999</c:v>
                </c:pt>
                <c:pt idx="1">
                  <c:v>0.40439999999999998</c:v>
                </c:pt>
                <c:pt idx="2">
                  <c:v>0.41110000000000002</c:v>
                </c:pt>
                <c:pt idx="3">
                  <c:v>0.4234</c:v>
                </c:pt>
                <c:pt idx="4">
                  <c:v>0.43280000000000002</c:v>
                </c:pt>
                <c:pt idx="5">
                  <c:v>0.43409999999999999</c:v>
                </c:pt>
                <c:pt idx="6">
                  <c:v>0.4486</c:v>
                </c:pt>
                <c:pt idx="7">
                  <c:v>0.4415</c:v>
                </c:pt>
                <c:pt idx="8">
                  <c:v>0.4047</c:v>
                </c:pt>
                <c:pt idx="9">
                  <c:v>0.3669</c:v>
                </c:pt>
                <c:pt idx="10">
                  <c:v>0.35699999999999998</c:v>
                </c:pt>
                <c:pt idx="11">
                  <c:v>0.35639999999999999</c:v>
                </c:pt>
                <c:pt idx="12">
                  <c:v>0.32990000000000003</c:v>
                </c:pt>
                <c:pt idx="13">
                  <c:v>0.34520000000000001</c:v>
                </c:pt>
                <c:pt idx="14">
                  <c:v>0.35110000000000002</c:v>
                </c:pt>
                <c:pt idx="15">
                  <c:v>0.32340000000000002</c:v>
                </c:pt>
                <c:pt idx="16">
                  <c:v>0.32819999999999999</c:v>
                </c:pt>
              </c:numCache>
            </c:numRef>
          </c:val>
          <c:smooth val="0"/>
          <c:extLst>
            <c:ext xmlns:c16="http://schemas.microsoft.com/office/drawing/2014/chart" uri="{C3380CC4-5D6E-409C-BE32-E72D297353CC}">
              <c16:uniqueId val="{0000000E-A50A-4C29-AE09-02E400967DDA}"/>
            </c:ext>
          </c:extLst>
        </c:ser>
        <c:ser>
          <c:idx val="15"/>
          <c:order val="15"/>
          <c:tx>
            <c:strRef>
              <c:f>LTDTA!$DA$51</c:f>
              <c:strCache>
                <c:ptCount val="1"/>
                <c:pt idx="0">
                  <c:v>B_-</c:v>
                </c:pt>
              </c:strCache>
            </c:strRef>
          </c:tx>
          <c:spPr>
            <a:ln w="28575" cap="rnd">
              <a:solidFill>
                <a:srgbClr val="00B0F0"/>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LTDTA!$DA$52:$DA$68</c:f>
              <c:numCache>
                <c:formatCode>General</c:formatCode>
                <c:ptCount val="17"/>
                <c:pt idx="0">
                  <c:v>0.43490000000000001</c:v>
                </c:pt>
                <c:pt idx="1">
                  <c:v>0.44729999999999998</c:v>
                </c:pt>
                <c:pt idx="2">
                  <c:v>0.44929999999999998</c:v>
                </c:pt>
                <c:pt idx="3">
                  <c:v>0.45279999999999998</c:v>
                </c:pt>
                <c:pt idx="4">
                  <c:v>0.45529999999999998</c:v>
                </c:pt>
                <c:pt idx="5">
                  <c:v>0.4738</c:v>
                </c:pt>
                <c:pt idx="6">
                  <c:v>0.48320000000000002</c:v>
                </c:pt>
                <c:pt idx="7">
                  <c:v>0.47220000000000001</c:v>
                </c:pt>
                <c:pt idx="8">
                  <c:v>0.38529999999999998</c:v>
                </c:pt>
                <c:pt idx="9">
                  <c:v>0.36249999999999999</c:v>
                </c:pt>
                <c:pt idx="10">
                  <c:v>0.33200000000000002</c:v>
                </c:pt>
                <c:pt idx="11">
                  <c:v>0.32469999999999999</c:v>
                </c:pt>
                <c:pt idx="12">
                  <c:v>0.32040000000000002</c:v>
                </c:pt>
                <c:pt idx="13">
                  <c:v>0.30230000000000001</c:v>
                </c:pt>
                <c:pt idx="14">
                  <c:v>0.33400000000000002</c:v>
                </c:pt>
                <c:pt idx="15">
                  <c:v>0.35389999999999999</c:v>
                </c:pt>
                <c:pt idx="16">
                  <c:v>0.3569</c:v>
                </c:pt>
              </c:numCache>
            </c:numRef>
          </c:val>
          <c:smooth val="0"/>
          <c:extLst>
            <c:ext xmlns:c16="http://schemas.microsoft.com/office/drawing/2014/chart" uri="{C3380CC4-5D6E-409C-BE32-E72D297353CC}">
              <c16:uniqueId val="{0000000F-A50A-4C29-AE09-02E400967DDA}"/>
            </c:ext>
          </c:extLst>
        </c:ser>
        <c:ser>
          <c:idx val="16"/>
          <c:order val="16"/>
          <c:tx>
            <c:strRef>
              <c:f>LTDTA!$DB$51</c:f>
              <c:strCache>
                <c:ptCount val="1"/>
                <c:pt idx="0">
                  <c:v>CCC+</c:v>
                </c:pt>
              </c:strCache>
            </c:strRef>
          </c:tx>
          <c:spPr>
            <a:ln w="28575" cap="rnd">
              <a:solidFill>
                <a:schemeClr val="accent5">
                  <a:lumMod val="80000"/>
                  <a:lumOff val="20000"/>
                </a:schemeClr>
              </a:solidFill>
              <a:prstDash val="sysDot"/>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LTDTA!$DB$52:$DB$68</c:f>
              <c:numCache>
                <c:formatCode>General</c:formatCode>
                <c:ptCount val="17"/>
                <c:pt idx="0">
                  <c:v>0.48820000000000002</c:v>
                </c:pt>
                <c:pt idx="1">
                  <c:v>0.49519999999999997</c:v>
                </c:pt>
                <c:pt idx="2">
                  <c:v>0.51239999999999997</c:v>
                </c:pt>
                <c:pt idx="3">
                  <c:v>0.52249999999999996</c:v>
                </c:pt>
                <c:pt idx="4">
                  <c:v>0.53839999999999999</c:v>
                </c:pt>
                <c:pt idx="5">
                  <c:v>0.53839999999999999</c:v>
                </c:pt>
                <c:pt idx="6">
                  <c:v>0.51190000000000002</c:v>
                </c:pt>
                <c:pt idx="7">
                  <c:v>0.46160000000000001</c:v>
                </c:pt>
                <c:pt idx="8">
                  <c:v>0.35539999999999999</c:v>
                </c:pt>
                <c:pt idx="9">
                  <c:v>0.34089999999999998</c:v>
                </c:pt>
                <c:pt idx="10">
                  <c:v>0.3337</c:v>
                </c:pt>
                <c:pt idx="11">
                  <c:v>0.3125</c:v>
                </c:pt>
                <c:pt idx="12">
                  <c:v>0.35949999999999999</c:v>
                </c:pt>
                <c:pt idx="13">
                  <c:v>0.38009999999999999</c:v>
                </c:pt>
                <c:pt idx="14">
                  <c:v>0.39429999999999998</c:v>
                </c:pt>
                <c:pt idx="15">
                  <c:v>0.40579999999999999</c:v>
                </c:pt>
                <c:pt idx="16">
                  <c:v>0.43440000000000001</c:v>
                </c:pt>
              </c:numCache>
            </c:numRef>
          </c:val>
          <c:smooth val="0"/>
          <c:extLst>
            <c:ext xmlns:c16="http://schemas.microsoft.com/office/drawing/2014/chart" uri="{C3380CC4-5D6E-409C-BE32-E72D297353CC}">
              <c16:uniqueId val="{00000010-A50A-4C29-AE09-02E400967DDA}"/>
            </c:ext>
          </c:extLst>
        </c:ser>
        <c:ser>
          <c:idx val="17"/>
          <c:order val="17"/>
          <c:tx>
            <c:strRef>
              <c:f>LTDTA!$DC$51</c:f>
              <c:strCache>
                <c:ptCount val="1"/>
                <c:pt idx="0">
                  <c:v>CCC</c:v>
                </c:pt>
              </c:strCache>
            </c:strRef>
          </c:tx>
          <c:spPr>
            <a:ln w="28575" cap="rnd">
              <a:solidFill>
                <a:schemeClr val="accent6">
                  <a:lumMod val="80000"/>
                  <a:lumOff val="20000"/>
                </a:schemeClr>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LTDTA!$DC$52:$DC$68</c:f>
              <c:numCache>
                <c:formatCode>General</c:formatCode>
                <c:ptCount val="17"/>
                <c:pt idx="0">
                  <c:v>0.46929999999999999</c:v>
                </c:pt>
                <c:pt idx="1">
                  <c:v>0.49149999999999999</c:v>
                </c:pt>
                <c:pt idx="2">
                  <c:v>0.49580000000000002</c:v>
                </c:pt>
                <c:pt idx="3">
                  <c:v>0.49109999999999998</c:v>
                </c:pt>
                <c:pt idx="4">
                  <c:v>0.49640000000000001</c:v>
                </c:pt>
                <c:pt idx="5">
                  <c:v>0.51170000000000004</c:v>
                </c:pt>
                <c:pt idx="6">
                  <c:v>0.48720000000000002</c:v>
                </c:pt>
                <c:pt idx="7">
                  <c:v>0.39489999999999997</c:v>
                </c:pt>
                <c:pt idx="8">
                  <c:v>0.2802</c:v>
                </c:pt>
                <c:pt idx="9">
                  <c:v>0.23630000000000001</c:v>
                </c:pt>
                <c:pt idx="10">
                  <c:v>0.24460000000000001</c:v>
                </c:pt>
                <c:pt idx="11">
                  <c:v>0.24429999999999999</c:v>
                </c:pt>
                <c:pt idx="12">
                  <c:v>0.2394</c:v>
                </c:pt>
                <c:pt idx="13">
                  <c:v>0.2878</c:v>
                </c:pt>
                <c:pt idx="14">
                  <c:v>0.33610000000000001</c:v>
                </c:pt>
                <c:pt idx="15">
                  <c:v>0.37630000000000002</c:v>
                </c:pt>
                <c:pt idx="16">
                  <c:v>0.36399999999999999</c:v>
                </c:pt>
              </c:numCache>
            </c:numRef>
          </c:val>
          <c:smooth val="0"/>
          <c:extLst>
            <c:ext xmlns:c16="http://schemas.microsoft.com/office/drawing/2014/chart" uri="{C3380CC4-5D6E-409C-BE32-E72D297353CC}">
              <c16:uniqueId val="{00000011-A50A-4C29-AE09-02E400967DDA}"/>
            </c:ext>
          </c:extLst>
        </c:ser>
        <c:ser>
          <c:idx val="18"/>
          <c:order val="18"/>
          <c:tx>
            <c:strRef>
              <c:f>LTDTA!$DD$51</c:f>
              <c:strCache>
                <c:ptCount val="1"/>
                <c:pt idx="0">
                  <c:v>CCC-</c:v>
                </c:pt>
              </c:strCache>
            </c:strRef>
          </c:tx>
          <c:spPr>
            <a:ln w="28575" cap="rnd">
              <a:solidFill>
                <a:schemeClr val="accent1">
                  <a:lumMod val="80000"/>
                </a:schemeClr>
              </a:solidFill>
              <a:prstDash val="sysDash"/>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LTDTA!$DD$52:$DD$68</c:f>
              <c:numCache>
                <c:formatCode>General</c:formatCode>
                <c:ptCount val="17"/>
                <c:pt idx="0">
                  <c:v>0.43869999999999998</c:v>
                </c:pt>
                <c:pt idx="1">
                  <c:v>0.44080000000000003</c:v>
                </c:pt>
                <c:pt idx="2">
                  <c:v>0.44640000000000002</c:v>
                </c:pt>
                <c:pt idx="3">
                  <c:v>0.47420000000000001</c:v>
                </c:pt>
                <c:pt idx="4">
                  <c:v>0.45950000000000002</c:v>
                </c:pt>
                <c:pt idx="5">
                  <c:v>0.46689999999999998</c:v>
                </c:pt>
                <c:pt idx="6">
                  <c:v>0.48720000000000002</c:v>
                </c:pt>
                <c:pt idx="7">
                  <c:v>0.34499999999999997</c:v>
                </c:pt>
                <c:pt idx="8">
                  <c:v>0.13159999999999999</c:v>
                </c:pt>
                <c:pt idx="9">
                  <c:v>0.1366</c:v>
                </c:pt>
                <c:pt idx="10">
                  <c:v>9.6000000000000002E-2</c:v>
                </c:pt>
                <c:pt idx="11">
                  <c:v>0.1164</c:v>
                </c:pt>
                <c:pt idx="12">
                  <c:v>0.19320000000000001</c:v>
                </c:pt>
                <c:pt idx="13">
                  <c:v>0.23219999999999999</c:v>
                </c:pt>
                <c:pt idx="14">
                  <c:v>0.23369999999999999</c:v>
                </c:pt>
                <c:pt idx="15">
                  <c:v>0.34499999999999997</c:v>
                </c:pt>
                <c:pt idx="16">
                  <c:v>0.38329999999999997</c:v>
                </c:pt>
              </c:numCache>
            </c:numRef>
          </c:val>
          <c:smooth val="0"/>
          <c:extLst>
            <c:ext xmlns:c16="http://schemas.microsoft.com/office/drawing/2014/chart" uri="{C3380CC4-5D6E-409C-BE32-E72D297353CC}">
              <c16:uniqueId val="{00000012-A50A-4C29-AE09-02E400967DDA}"/>
            </c:ext>
          </c:extLst>
        </c:ser>
        <c:ser>
          <c:idx val="19"/>
          <c:order val="19"/>
          <c:tx>
            <c:strRef>
              <c:f>LTDTA!$DE$51</c:f>
              <c:strCache>
                <c:ptCount val="1"/>
                <c:pt idx="0">
                  <c:v>CC</c:v>
                </c:pt>
              </c:strCache>
            </c:strRef>
          </c:tx>
          <c:spPr>
            <a:ln w="28575" cap="rnd">
              <a:solidFill>
                <a:schemeClr val="accent2">
                  <a:lumMod val="80000"/>
                </a:schemeClr>
              </a:solidFill>
              <a:round/>
            </a:ln>
            <a:effectLst/>
          </c:spPr>
          <c:marker>
            <c:symbol val="none"/>
          </c:marker>
          <c:cat>
            <c:strRef>
              <c:f>LTDTA!$CK$52:$CK$68</c:f>
              <c:strCache>
                <c:ptCount val="17"/>
                <c:pt idx="0">
                  <c:v>Q-8</c:v>
                </c:pt>
                <c:pt idx="1">
                  <c:v>Q-7</c:v>
                </c:pt>
                <c:pt idx="2">
                  <c:v>Q-6</c:v>
                </c:pt>
                <c:pt idx="3">
                  <c:v>Q-5</c:v>
                </c:pt>
                <c:pt idx="4">
                  <c:v>Q-4</c:v>
                </c:pt>
                <c:pt idx="5">
                  <c:v>Q-3</c:v>
                </c:pt>
                <c:pt idx="6">
                  <c:v>Q-2</c:v>
                </c:pt>
                <c:pt idx="7">
                  <c:v>Q-1</c:v>
                </c:pt>
                <c:pt idx="8">
                  <c:v>Q0</c:v>
                </c:pt>
                <c:pt idx="9">
                  <c:v>Q1</c:v>
                </c:pt>
                <c:pt idx="10">
                  <c:v>Q2</c:v>
                </c:pt>
                <c:pt idx="11">
                  <c:v>Q3</c:v>
                </c:pt>
                <c:pt idx="12">
                  <c:v>Q4</c:v>
                </c:pt>
                <c:pt idx="13">
                  <c:v>Q5</c:v>
                </c:pt>
                <c:pt idx="14">
                  <c:v>Q6</c:v>
                </c:pt>
                <c:pt idx="15">
                  <c:v>Q7</c:v>
                </c:pt>
                <c:pt idx="16">
                  <c:v>Q8</c:v>
                </c:pt>
              </c:strCache>
            </c:strRef>
          </c:cat>
          <c:val>
            <c:numRef>
              <c:f>LTDTA!$DE$52:$DE$68</c:f>
              <c:numCache>
                <c:formatCode>General</c:formatCode>
                <c:ptCount val="17"/>
                <c:pt idx="0">
                  <c:v>0.50890000000000002</c:v>
                </c:pt>
                <c:pt idx="1">
                  <c:v>0.53539999999999999</c:v>
                </c:pt>
                <c:pt idx="2">
                  <c:v>0.53779999999999994</c:v>
                </c:pt>
                <c:pt idx="3">
                  <c:v>0.54300000000000004</c:v>
                </c:pt>
                <c:pt idx="4">
                  <c:v>0.54339999999999999</c:v>
                </c:pt>
                <c:pt idx="5">
                  <c:v>0.5101</c:v>
                </c:pt>
                <c:pt idx="6">
                  <c:v>0.4929</c:v>
                </c:pt>
                <c:pt idx="7">
                  <c:v>0.33810000000000001</c:v>
                </c:pt>
                <c:pt idx="8">
                  <c:v>0.2112</c:v>
                </c:pt>
                <c:pt idx="9">
                  <c:v>0.16139999999999999</c:v>
                </c:pt>
                <c:pt idx="10">
                  <c:v>0.1822</c:v>
                </c:pt>
                <c:pt idx="11">
                  <c:v>0.23849999999999999</c:v>
                </c:pt>
                <c:pt idx="12">
                  <c:v>0.27050000000000002</c:v>
                </c:pt>
                <c:pt idx="13">
                  <c:v>0.30449999999999999</c:v>
                </c:pt>
                <c:pt idx="14">
                  <c:v>0.31559999999999999</c:v>
                </c:pt>
                <c:pt idx="15">
                  <c:v>0.32850000000000001</c:v>
                </c:pt>
                <c:pt idx="16">
                  <c:v>0.40129999999999999</c:v>
                </c:pt>
              </c:numCache>
            </c:numRef>
          </c:val>
          <c:smooth val="0"/>
          <c:extLst>
            <c:ext xmlns:c16="http://schemas.microsoft.com/office/drawing/2014/chart" uri="{C3380CC4-5D6E-409C-BE32-E72D297353CC}">
              <c16:uniqueId val="{00000013-A50A-4C29-AE09-02E400967DDA}"/>
            </c:ext>
          </c:extLst>
        </c:ser>
        <c:dLbls>
          <c:showLegendKey val="0"/>
          <c:showVal val="0"/>
          <c:showCatName val="0"/>
          <c:showSerName val="0"/>
          <c:showPercent val="0"/>
          <c:showBubbleSize val="0"/>
        </c:dLbls>
        <c:smooth val="0"/>
        <c:axId val="207520712"/>
        <c:axId val="207521104"/>
      </c:lineChart>
      <c:catAx>
        <c:axId val="207520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a:t>
                </a:r>
                <a:r>
                  <a:rPr lang="en-US" baseline="0"/>
                  <a:t> Relative to Ratings Process (Q0)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21104"/>
        <c:crosses val="autoZero"/>
        <c:auto val="1"/>
        <c:lblAlgn val="ctr"/>
        <c:lblOffset val="100"/>
        <c:noMultiLvlLbl val="0"/>
      </c:catAx>
      <c:valAx>
        <c:axId val="2075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LTD/TA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2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A2903-9634-48A4-9596-D5D2CB25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35</Pages>
  <Words>8233</Words>
  <Characters>46931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Nejadmalayeri, Ali</dc:creator>
  <cp:lastModifiedBy>Goebel, Joseph Michael</cp:lastModifiedBy>
  <cp:revision>2</cp:revision>
  <dcterms:created xsi:type="dcterms:W3CDTF">2021-09-21T16:27:00Z</dcterms:created>
  <dcterms:modified xsi:type="dcterms:W3CDTF">2021-09-21T16:27:00Z</dcterms:modified>
</cp:coreProperties>
</file>